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方正小标宋简体" w:hAnsi="方正小标宋简体" w:eastAsia="方正小标宋简体" w:cs="方正小标宋简体"/>
          <w:color w:val="auto"/>
          <w:sz w:val="42"/>
          <w:szCs w:val="36"/>
          <w:lang w:eastAsia="zh-CN"/>
        </w:rPr>
      </w:pPr>
      <w:r>
        <w:rPr>
          <w:rFonts w:hint="eastAsia" w:ascii="方正小标宋简体" w:hAnsi="方正小标宋简体" w:eastAsia="方正小标宋简体" w:cs="方正小标宋简体"/>
          <w:color w:val="auto"/>
          <w:sz w:val="42"/>
          <w:szCs w:val="36"/>
        </w:rPr>
        <w:t>宿州学院</w:t>
      </w:r>
      <w:r>
        <w:rPr>
          <w:rFonts w:ascii="方正小标宋简体" w:hAnsi="方正小标宋简体" w:eastAsia="方正小标宋简体" w:cs="方正小标宋简体"/>
          <w:color w:val="auto"/>
          <w:sz w:val="42"/>
          <w:szCs w:val="36"/>
        </w:rPr>
        <w:t>2018</w:t>
      </w:r>
      <w:r>
        <w:rPr>
          <w:rFonts w:hint="eastAsia" w:ascii="方正小标宋简体" w:hAnsi="方正小标宋简体" w:eastAsia="方正小标宋简体" w:cs="方正小标宋简体"/>
          <w:color w:val="auto"/>
          <w:sz w:val="42"/>
          <w:szCs w:val="36"/>
        </w:rPr>
        <w:t>年</w:t>
      </w:r>
      <w:r>
        <w:rPr>
          <w:rFonts w:hint="eastAsia" w:ascii="方正小标宋简体" w:hAnsi="方正小标宋简体" w:eastAsia="方正小标宋简体" w:cs="方正小标宋简体"/>
          <w:color w:val="auto"/>
          <w:sz w:val="42"/>
          <w:szCs w:val="36"/>
          <w:lang w:eastAsia="zh-CN"/>
        </w:rPr>
        <w:t>度重点工作目标任务完成情况表</w:t>
      </w:r>
    </w:p>
    <w:p>
      <w:pPr>
        <w:spacing w:line="520" w:lineRule="exact"/>
        <w:ind w:firstLine="840" w:firstLineChars="300"/>
        <w:jc w:val="both"/>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责任单位：                                                部门主要负责人签字：</w:t>
      </w:r>
    </w:p>
    <w:p>
      <w:pPr>
        <w:spacing w:line="360" w:lineRule="exact"/>
        <w:rPr>
          <w:color w:val="auto"/>
          <w:sz w:val="28"/>
          <w:szCs w:val="28"/>
        </w:rPr>
      </w:pPr>
    </w:p>
    <w:tbl>
      <w:tblPr>
        <w:tblStyle w:val="10"/>
        <w:tblW w:w="14125" w:type="dxa"/>
        <w:jc w:val="center"/>
        <w:tblInd w:w="-51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8"/>
        <w:gridCol w:w="4182"/>
        <w:gridCol w:w="4708"/>
        <w:gridCol w:w="1395"/>
        <w:gridCol w:w="1110"/>
        <w:gridCol w:w="1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608" w:type="dxa"/>
            <w:vAlign w:val="center"/>
          </w:tcPr>
          <w:p>
            <w:pPr>
              <w:spacing w:line="320" w:lineRule="exact"/>
              <w:jc w:val="center"/>
              <w:rPr>
                <w:rFonts w:hint="eastAsia" w:ascii="黑体" w:hAnsi="黑体" w:eastAsia="黑体" w:cs="黑体"/>
                <w:color w:val="auto"/>
                <w:sz w:val="24"/>
                <w:lang w:eastAsia="zh-CN"/>
              </w:rPr>
            </w:pPr>
            <w:r>
              <w:rPr>
                <w:rFonts w:hint="eastAsia" w:ascii="黑体" w:hAnsi="黑体" w:eastAsia="黑体" w:cs="黑体"/>
                <w:color w:val="auto"/>
                <w:sz w:val="24"/>
                <w:lang w:eastAsia="zh-CN"/>
              </w:rPr>
              <w:t>项目</w:t>
            </w:r>
          </w:p>
        </w:tc>
        <w:tc>
          <w:tcPr>
            <w:tcW w:w="4182" w:type="dxa"/>
            <w:vAlign w:val="center"/>
          </w:tcPr>
          <w:p>
            <w:pPr>
              <w:spacing w:line="320" w:lineRule="exact"/>
              <w:jc w:val="center"/>
              <w:rPr>
                <w:rFonts w:ascii="黑体" w:hAnsi="黑体" w:eastAsia="黑体" w:cs="黑体"/>
                <w:color w:val="auto"/>
                <w:sz w:val="24"/>
              </w:rPr>
            </w:pPr>
            <w:r>
              <w:rPr>
                <w:rFonts w:hint="eastAsia" w:ascii="黑体" w:hAnsi="黑体" w:eastAsia="黑体" w:cs="黑体"/>
                <w:color w:val="auto"/>
                <w:sz w:val="24"/>
              </w:rPr>
              <w:t>目标任务</w:t>
            </w:r>
          </w:p>
        </w:tc>
        <w:tc>
          <w:tcPr>
            <w:tcW w:w="4708" w:type="dxa"/>
            <w:vAlign w:val="center"/>
          </w:tcPr>
          <w:p>
            <w:pPr>
              <w:spacing w:line="320" w:lineRule="exact"/>
              <w:jc w:val="center"/>
              <w:rPr>
                <w:rFonts w:hint="eastAsia" w:ascii="黑体" w:hAnsi="黑体" w:eastAsia="黑体" w:cs="黑体"/>
                <w:color w:val="auto"/>
                <w:sz w:val="24"/>
                <w:lang w:eastAsia="zh-CN"/>
              </w:rPr>
            </w:pPr>
            <w:r>
              <w:rPr>
                <w:rFonts w:hint="eastAsia" w:ascii="黑体" w:hAnsi="黑体" w:eastAsia="黑体" w:cs="黑体"/>
                <w:color w:val="auto"/>
                <w:sz w:val="24"/>
                <w:lang w:eastAsia="zh-CN"/>
              </w:rPr>
              <w:t>完成情况</w:t>
            </w:r>
            <w:r>
              <w:rPr>
                <w:rFonts w:hint="eastAsia" w:ascii="黑体" w:hAnsi="黑体" w:eastAsia="黑体" w:cs="黑体"/>
                <w:b w:val="0"/>
                <w:bCs w:val="0"/>
                <w:color w:val="auto"/>
                <w:sz w:val="24"/>
                <w:lang w:eastAsia="zh-CN"/>
              </w:rPr>
              <w:t>（牵头部门填写）</w:t>
            </w:r>
          </w:p>
        </w:tc>
        <w:tc>
          <w:tcPr>
            <w:tcW w:w="1395" w:type="dxa"/>
            <w:vAlign w:val="center"/>
          </w:tcPr>
          <w:p>
            <w:pPr>
              <w:spacing w:line="320" w:lineRule="exact"/>
              <w:jc w:val="center"/>
              <w:rPr>
                <w:rFonts w:hint="eastAsia" w:ascii="黑体" w:hAnsi="黑体" w:eastAsia="黑体" w:cs="黑体"/>
                <w:color w:val="auto"/>
                <w:sz w:val="21"/>
                <w:szCs w:val="21"/>
                <w:lang w:eastAsia="zh-CN"/>
              </w:rPr>
            </w:pPr>
            <w:r>
              <w:rPr>
                <w:rFonts w:hint="eastAsia" w:ascii="黑体" w:hAnsi="黑体" w:eastAsia="黑体" w:cs="黑体"/>
                <w:color w:val="auto"/>
                <w:sz w:val="21"/>
                <w:szCs w:val="21"/>
                <w:lang w:eastAsia="zh-CN"/>
              </w:rPr>
              <w:t>自评情况</w:t>
            </w:r>
          </w:p>
          <w:p>
            <w:pPr>
              <w:spacing w:line="320" w:lineRule="exact"/>
              <w:jc w:val="center"/>
              <w:rPr>
                <w:rFonts w:hint="eastAsia" w:ascii="黑体" w:hAnsi="黑体" w:eastAsia="黑体" w:cs="黑体"/>
                <w:color w:val="auto"/>
                <w:sz w:val="24"/>
                <w:lang w:eastAsia="zh-CN"/>
              </w:rPr>
            </w:pPr>
            <w:r>
              <w:rPr>
                <w:rFonts w:hint="eastAsia" w:ascii="黑体" w:hAnsi="黑体" w:eastAsia="黑体" w:cs="黑体"/>
                <w:color w:val="auto"/>
                <w:sz w:val="21"/>
                <w:szCs w:val="21"/>
                <w:lang w:eastAsia="zh-CN"/>
              </w:rPr>
              <w:t>（是否完成）</w:t>
            </w:r>
          </w:p>
        </w:tc>
        <w:tc>
          <w:tcPr>
            <w:tcW w:w="1110" w:type="dxa"/>
            <w:vAlign w:val="center"/>
          </w:tcPr>
          <w:p>
            <w:pPr>
              <w:spacing w:line="320" w:lineRule="exact"/>
              <w:jc w:val="center"/>
              <w:rPr>
                <w:rFonts w:ascii="黑体" w:hAnsi="黑体" w:eastAsia="黑体" w:cs="黑体"/>
                <w:color w:val="auto"/>
                <w:sz w:val="24"/>
              </w:rPr>
            </w:pPr>
            <w:r>
              <w:rPr>
                <w:rFonts w:hint="eastAsia" w:ascii="黑体" w:hAnsi="黑体" w:eastAsia="黑体" w:cs="黑体"/>
                <w:color w:val="auto"/>
                <w:sz w:val="24"/>
              </w:rPr>
              <w:t>牵头单位</w:t>
            </w:r>
          </w:p>
        </w:tc>
        <w:tc>
          <w:tcPr>
            <w:tcW w:w="1122" w:type="dxa"/>
            <w:vAlign w:val="center"/>
          </w:tcPr>
          <w:p>
            <w:pPr>
              <w:spacing w:line="320" w:lineRule="exact"/>
              <w:jc w:val="center"/>
              <w:rPr>
                <w:rFonts w:ascii="黑体" w:hAnsi="黑体" w:eastAsia="黑体" w:cs="黑体"/>
                <w:color w:val="auto"/>
                <w:sz w:val="24"/>
              </w:rPr>
            </w:pPr>
            <w:r>
              <w:rPr>
                <w:rFonts w:hint="eastAsia" w:ascii="黑体" w:hAnsi="黑体" w:eastAsia="黑体" w:cs="黑体"/>
                <w:color w:val="auto"/>
                <w:sz w:val="24"/>
              </w:rPr>
              <w:t>协办单位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25" w:hRule="atLeast"/>
          <w:jc w:val="center"/>
        </w:trPr>
        <w:tc>
          <w:tcPr>
            <w:tcW w:w="1608" w:type="dxa"/>
            <w:vMerge w:val="restart"/>
            <w:vAlign w:val="center"/>
          </w:tcPr>
          <w:p>
            <w:pPr>
              <w:spacing w:line="320" w:lineRule="exact"/>
              <w:jc w:val="left"/>
              <w:rPr>
                <w:rFonts w:ascii="楷体_GB2312" w:hAnsi="楷体_GB2312" w:eastAsia="楷体_GB2312" w:cs="楷体_GB2312"/>
                <w:b/>
                <w:bCs/>
                <w:color w:val="auto"/>
                <w:szCs w:val="21"/>
              </w:rPr>
            </w:pPr>
            <w:r>
              <w:rPr>
                <w:rFonts w:ascii="楷体_GB2312" w:hAnsi="楷体_GB2312" w:eastAsia="楷体_GB2312" w:cs="楷体_GB2312"/>
                <w:b/>
                <w:bCs/>
                <w:color w:val="auto"/>
                <w:szCs w:val="21"/>
              </w:rPr>
              <w:t>1.</w:t>
            </w:r>
            <w:r>
              <w:rPr>
                <w:rFonts w:hint="eastAsia" w:ascii="楷体_GB2312" w:hAnsi="楷体_GB2312" w:eastAsia="楷体_GB2312" w:cs="楷体_GB2312"/>
                <w:b/>
                <w:bCs/>
                <w:color w:val="auto"/>
                <w:szCs w:val="21"/>
              </w:rPr>
              <w:t>持续推进学习宣传贯彻。</w:t>
            </w:r>
          </w:p>
        </w:tc>
        <w:tc>
          <w:tcPr>
            <w:tcW w:w="4182" w:type="dxa"/>
            <w:vAlign w:val="center"/>
          </w:tcPr>
          <w:p>
            <w:pPr>
              <w:spacing w:line="320" w:lineRule="exact"/>
              <w:rPr>
                <w:rFonts w:ascii="楷体_GB2312" w:hAnsi="楷体_GB2312" w:eastAsia="楷体_GB2312" w:cs="楷体_GB2312"/>
                <w:color w:val="auto"/>
                <w:szCs w:val="21"/>
              </w:rPr>
            </w:pPr>
            <w:r>
              <w:rPr>
                <w:rFonts w:hint="eastAsia" w:ascii="楷体_GB2312" w:hAnsi="楷体_GB2312" w:eastAsia="楷体_GB2312" w:cs="楷体_GB2312"/>
                <w:color w:val="auto"/>
                <w:szCs w:val="21"/>
              </w:rPr>
              <w:t>①深入学习贯彻习近平新时代中国特色社会化主义思想和党的十九大精神。扎实推进习近平新时代中国特色社</w:t>
            </w:r>
            <w:bookmarkStart w:id="0" w:name="_GoBack"/>
            <w:bookmarkEnd w:id="0"/>
            <w:r>
              <w:rPr>
                <w:rFonts w:hint="eastAsia" w:ascii="楷体_GB2312" w:hAnsi="楷体_GB2312" w:eastAsia="楷体_GB2312" w:cs="楷体_GB2312"/>
                <w:color w:val="auto"/>
                <w:szCs w:val="21"/>
              </w:rPr>
              <w:t>会主义思想进教材、进课堂、进头脑。</w:t>
            </w:r>
          </w:p>
        </w:tc>
        <w:tc>
          <w:tcPr>
            <w:tcW w:w="4708" w:type="dxa"/>
            <w:vAlign w:val="center"/>
          </w:tcPr>
          <w:p>
            <w:pPr>
              <w:spacing w:line="320" w:lineRule="exact"/>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eastAsia="zh-CN"/>
              </w:rPr>
              <w:t>格式如下：</w:t>
            </w:r>
          </w:p>
          <w:p>
            <w:pPr>
              <w:spacing w:line="320" w:lineRule="exact"/>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rPr>
              <w:t>1.XXXXXXXXXXXXXXXXXXXX</w:t>
            </w:r>
            <w:r>
              <w:rPr>
                <w:rFonts w:hint="eastAsia" w:asciiTheme="minorEastAsia" w:hAnsiTheme="minorEastAsia" w:eastAsiaTheme="minorEastAsia" w:cstheme="minorEastAsia"/>
                <w:color w:val="auto"/>
                <w:szCs w:val="21"/>
                <w:lang w:eastAsia="zh-CN"/>
              </w:rPr>
              <w:t>；</w:t>
            </w:r>
          </w:p>
          <w:p>
            <w:pPr>
              <w:spacing w:line="320" w:lineRule="exact"/>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rPr>
              <w:t>2.XXXXXXXXXXXXXXXXXXXXXXXXXXXXXX</w:t>
            </w:r>
            <w:r>
              <w:rPr>
                <w:rFonts w:hint="eastAsia" w:asciiTheme="minorEastAsia" w:hAnsiTheme="minorEastAsia" w:eastAsiaTheme="minorEastAsia" w:cstheme="minorEastAsia"/>
                <w:color w:val="auto"/>
                <w:szCs w:val="21"/>
                <w:lang w:eastAsia="zh-CN"/>
              </w:rPr>
              <w:t>；</w:t>
            </w:r>
          </w:p>
          <w:p>
            <w:pPr>
              <w:spacing w:line="320" w:lineRule="exact"/>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val="en-US" w:eastAsia="zh-CN"/>
              </w:rPr>
              <w:t>3.</w:t>
            </w:r>
            <w:r>
              <w:rPr>
                <w:rFonts w:hint="eastAsia" w:asciiTheme="minorEastAsia" w:hAnsiTheme="minorEastAsia" w:eastAsiaTheme="minorEastAsia" w:cstheme="minorEastAsia"/>
                <w:color w:val="auto"/>
                <w:szCs w:val="21"/>
              </w:rPr>
              <w:t>XXXXXXXXXXXXXXXXXXXXXXXXXXXXXX</w:t>
            </w:r>
            <w:r>
              <w:rPr>
                <w:rFonts w:hint="eastAsia" w:asciiTheme="minorEastAsia" w:hAnsiTheme="minorEastAsia" w:eastAsiaTheme="minorEastAsia" w:cstheme="minorEastAsia"/>
                <w:color w:val="auto"/>
                <w:szCs w:val="21"/>
                <w:lang w:eastAsia="zh-CN"/>
              </w:rPr>
              <w:t>。</w:t>
            </w:r>
          </w:p>
          <w:p>
            <w:pPr>
              <w:spacing w:line="320" w:lineRule="exact"/>
              <w:jc w:val="center"/>
              <w:rPr>
                <w:rFonts w:ascii="宋体" w:cs="宋体"/>
                <w:color w:val="auto"/>
                <w:szCs w:val="21"/>
              </w:rPr>
            </w:pPr>
          </w:p>
        </w:tc>
        <w:tc>
          <w:tcPr>
            <w:tcW w:w="1395" w:type="dxa"/>
            <w:vAlign w:val="center"/>
          </w:tcPr>
          <w:p>
            <w:pPr>
              <w:spacing w:line="320" w:lineRule="exact"/>
              <w:jc w:val="center"/>
              <w:rPr>
                <w:rFonts w:hint="eastAsia" w:ascii="宋体" w:eastAsia="宋体" w:cs="宋体"/>
                <w:color w:val="1D41D5"/>
                <w:szCs w:val="21"/>
                <w:lang w:val="en-US" w:eastAsia="zh-CN"/>
              </w:rPr>
            </w:pPr>
            <w:r>
              <w:rPr>
                <w:rFonts w:hint="eastAsia" w:ascii="宋体" w:cs="宋体"/>
                <w:color w:val="auto"/>
                <w:szCs w:val="21"/>
                <w:lang w:val="en-US" w:eastAsia="zh-CN"/>
              </w:rPr>
              <w:t>已完成/未完成</w:t>
            </w:r>
          </w:p>
        </w:tc>
        <w:tc>
          <w:tcPr>
            <w:tcW w:w="1110" w:type="dxa"/>
            <w:vAlign w:val="center"/>
          </w:tcPr>
          <w:p>
            <w:pPr>
              <w:spacing w:line="320" w:lineRule="exact"/>
              <w:jc w:val="center"/>
              <w:rPr>
                <w:rFonts w:ascii="宋体" w:cs="宋体"/>
                <w:color w:val="auto"/>
                <w:szCs w:val="21"/>
              </w:rPr>
            </w:pPr>
            <w:r>
              <w:rPr>
                <w:rFonts w:hint="eastAsia" w:ascii="宋体" w:hAnsi="宋体" w:cs="宋体"/>
                <w:color w:val="auto"/>
                <w:szCs w:val="21"/>
              </w:rPr>
              <w:t>宣传部</w:t>
            </w:r>
          </w:p>
        </w:tc>
        <w:tc>
          <w:tcPr>
            <w:tcW w:w="1122" w:type="dxa"/>
            <w:vAlign w:val="center"/>
          </w:tcPr>
          <w:p>
            <w:pPr>
              <w:spacing w:line="320" w:lineRule="exact"/>
              <w:jc w:val="center"/>
              <w:rPr>
                <w:color w:val="auto"/>
                <w:sz w:val="18"/>
                <w:szCs w:val="18"/>
              </w:rPr>
            </w:pPr>
            <w:r>
              <w:rPr>
                <w:rFonts w:hint="eastAsia"/>
                <w:color w:val="auto"/>
                <w:sz w:val="18"/>
                <w:szCs w:val="18"/>
              </w:rPr>
              <w:t>各单位、二级学院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1608" w:type="dxa"/>
            <w:vMerge w:val="continue"/>
            <w:vAlign w:val="center"/>
          </w:tcPr>
          <w:p>
            <w:pPr>
              <w:spacing w:line="320" w:lineRule="exact"/>
              <w:jc w:val="left"/>
              <w:rPr>
                <w:rFonts w:ascii="楷体_GB2312" w:hAnsi="楷体_GB2312" w:eastAsia="楷体_GB2312" w:cs="楷体_GB2312"/>
                <w:b/>
                <w:bCs/>
                <w:color w:val="auto"/>
                <w:szCs w:val="21"/>
              </w:rPr>
            </w:pPr>
          </w:p>
        </w:tc>
        <w:tc>
          <w:tcPr>
            <w:tcW w:w="4182" w:type="dxa"/>
            <w:vAlign w:val="center"/>
          </w:tcPr>
          <w:p>
            <w:pPr>
              <w:spacing w:line="320" w:lineRule="exact"/>
              <w:rPr>
                <w:rFonts w:ascii="楷体_GB2312" w:hAnsi="楷体_GB2312" w:eastAsia="楷体_GB2312" w:cs="楷体_GB2312"/>
                <w:color w:val="auto"/>
                <w:szCs w:val="21"/>
              </w:rPr>
            </w:pPr>
            <w:r>
              <w:rPr>
                <w:rFonts w:hint="eastAsia" w:ascii="楷体_GB2312" w:hAnsi="楷体_GB2312" w:eastAsia="楷体_GB2312" w:cs="楷体_GB2312"/>
                <w:color w:val="auto"/>
                <w:szCs w:val="21"/>
              </w:rPr>
              <w:t>②突出抓好学习贯彻十九大精神集中轮训，对全校党员干部开展全员专题培训。深入学习党章党规。</w:t>
            </w:r>
          </w:p>
        </w:tc>
        <w:tc>
          <w:tcPr>
            <w:tcW w:w="4708" w:type="dxa"/>
            <w:vAlign w:val="center"/>
          </w:tcPr>
          <w:p>
            <w:pPr>
              <w:spacing w:line="320" w:lineRule="exact"/>
              <w:jc w:val="center"/>
              <w:rPr>
                <w:rFonts w:ascii="宋体" w:cs="宋体"/>
                <w:color w:val="auto"/>
                <w:szCs w:val="21"/>
              </w:rPr>
            </w:pPr>
          </w:p>
        </w:tc>
        <w:tc>
          <w:tcPr>
            <w:tcW w:w="1395" w:type="dxa"/>
            <w:vAlign w:val="center"/>
          </w:tcPr>
          <w:p>
            <w:pPr>
              <w:spacing w:line="320" w:lineRule="exact"/>
              <w:jc w:val="center"/>
              <w:rPr>
                <w:rFonts w:ascii="宋体" w:cs="宋体"/>
                <w:color w:val="auto"/>
                <w:szCs w:val="21"/>
              </w:rPr>
            </w:pPr>
          </w:p>
        </w:tc>
        <w:tc>
          <w:tcPr>
            <w:tcW w:w="1110" w:type="dxa"/>
            <w:vAlign w:val="center"/>
          </w:tcPr>
          <w:p>
            <w:pPr>
              <w:spacing w:line="320" w:lineRule="exact"/>
              <w:jc w:val="center"/>
              <w:rPr>
                <w:rFonts w:ascii="宋体" w:cs="宋体"/>
                <w:color w:val="auto"/>
                <w:szCs w:val="21"/>
              </w:rPr>
            </w:pPr>
            <w:r>
              <w:rPr>
                <w:rFonts w:hint="eastAsia" w:ascii="宋体" w:hAnsi="宋体" w:cs="宋体"/>
                <w:color w:val="auto"/>
                <w:szCs w:val="21"/>
              </w:rPr>
              <w:t>组织部</w:t>
            </w:r>
          </w:p>
        </w:tc>
        <w:tc>
          <w:tcPr>
            <w:tcW w:w="1122" w:type="dxa"/>
            <w:vAlign w:val="center"/>
          </w:tcPr>
          <w:p>
            <w:pPr>
              <w:spacing w:line="320" w:lineRule="exact"/>
              <w:jc w:val="center"/>
              <w:rPr>
                <w:color w:val="auto"/>
                <w:sz w:val="18"/>
                <w:szCs w:val="18"/>
              </w:rPr>
            </w:pPr>
            <w:r>
              <w:rPr>
                <w:rFonts w:hint="eastAsia"/>
                <w:color w:val="auto"/>
                <w:sz w:val="18"/>
                <w:szCs w:val="18"/>
              </w:rPr>
              <w:t>各党总支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1608" w:type="dxa"/>
            <w:vMerge w:val="continue"/>
            <w:vAlign w:val="center"/>
          </w:tcPr>
          <w:p>
            <w:pPr>
              <w:spacing w:line="320" w:lineRule="exact"/>
              <w:jc w:val="left"/>
              <w:rPr>
                <w:rFonts w:ascii="楷体_GB2312" w:hAnsi="楷体_GB2312" w:eastAsia="楷体_GB2312" w:cs="楷体_GB2312"/>
                <w:b/>
                <w:bCs/>
                <w:color w:val="auto"/>
                <w:szCs w:val="21"/>
              </w:rPr>
            </w:pPr>
          </w:p>
        </w:tc>
        <w:tc>
          <w:tcPr>
            <w:tcW w:w="4182" w:type="dxa"/>
            <w:vAlign w:val="center"/>
          </w:tcPr>
          <w:p>
            <w:pPr>
              <w:spacing w:line="320" w:lineRule="exact"/>
              <w:rPr>
                <w:rFonts w:ascii="楷体_GB2312" w:hAnsi="楷体_GB2312" w:eastAsia="楷体_GB2312" w:cs="楷体_GB2312"/>
                <w:color w:val="auto"/>
                <w:szCs w:val="21"/>
              </w:rPr>
            </w:pPr>
            <w:r>
              <w:rPr>
                <w:rFonts w:hint="eastAsia" w:ascii="楷体_GB2312" w:hAnsi="楷体_GB2312" w:eastAsia="楷体_GB2312" w:cs="楷体_GB2312"/>
                <w:color w:val="auto"/>
                <w:szCs w:val="21"/>
              </w:rPr>
              <w:t>③组织开展“不忘初心、牢记使命”主题教育。组织实施“永远跟党走”主题社会实践活动和改革开放</w:t>
            </w:r>
            <w:r>
              <w:rPr>
                <w:rFonts w:ascii="楷体_GB2312" w:hAnsi="楷体_GB2312" w:eastAsia="楷体_GB2312" w:cs="楷体_GB2312"/>
                <w:color w:val="auto"/>
                <w:szCs w:val="21"/>
              </w:rPr>
              <w:t>40</w:t>
            </w:r>
            <w:r>
              <w:rPr>
                <w:rFonts w:hint="eastAsia" w:ascii="楷体_GB2312" w:hAnsi="楷体_GB2312" w:eastAsia="楷体_GB2312" w:cs="楷体_GB2312"/>
                <w:color w:val="auto"/>
                <w:szCs w:val="21"/>
              </w:rPr>
              <w:t>周年社会实践专项行动。</w:t>
            </w:r>
          </w:p>
        </w:tc>
        <w:tc>
          <w:tcPr>
            <w:tcW w:w="4708" w:type="dxa"/>
            <w:vMerge w:val="restart"/>
            <w:vAlign w:val="center"/>
          </w:tcPr>
          <w:p>
            <w:pPr>
              <w:spacing w:line="320" w:lineRule="exact"/>
              <w:jc w:val="center"/>
              <w:rPr>
                <w:rFonts w:ascii="宋体" w:cs="宋体"/>
                <w:color w:val="auto"/>
                <w:szCs w:val="21"/>
              </w:rPr>
            </w:pPr>
          </w:p>
        </w:tc>
        <w:tc>
          <w:tcPr>
            <w:tcW w:w="1395" w:type="dxa"/>
            <w:vAlign w:val="center"/>
          </w:tcPr>
          <w:p>
            <w:pPr>
              <w:spacing w:line="320" w:lineRule="exact"/>
              <w:jc w:val="center"/>
              <w:rPr>
                <w:rFonts w:ascii="宋体" w:cs="宋体"/>
                <w:color w:val="auto"/>
                <w:szCs w:val="21"/>
              </w:rPr>
            </w:pPr>
          </w:p>
        </w:tc>
        <w:tc>
          <w:tcPr>
            <w:tcW w:w="1110" w:type="dxa"/>
            <w:vMerge w:val="restart"/>
            <w:vAlign w:val="center"/>
          </w:tcPr>
          <w:p>
            <w:pPr>
              <w:spacing w:line="320" w:lineRule="exact"/>
              <w:jc w:val="center"/>
              <w:rPr>
                <w:rFonts w:hint="eastAsia" w:ascii="宋体" w:hAnsi="宋体" w:cs="宋体"/>
                <w:color w:val="auto"/>
                <w:szCs w:val="21"/>
                <w:u w:val="none"/>
              </w:rPr>
            </w:pPr>
            <w:r>
              <w:rPr>
                <w:rFonts w:hint="eastAsia" w:ascii="宋体" w:hAnsi="宋体" w:cs="宋体"/>
                <w:color w:val="auto"/>
                <w:szCs w:val="21"/>
                <w:u w:val="none"/>
              </w:rPr>
              <w:t>宣传部</w:t>
            </w:r>
          </w:p>
          <w:p>
            <w:pPr>
              <w:spacing w:line="320" w:lineRule="exact"/>
              <w:jc w:val="center"/>
              <w:rPr>
                <w:rFonts w:ascii="宋体" w:cs="宋体"/>
                <w:color w:val="auto"/>
                <w:szCs w:val="21"/>
              </w:rPr>
            </w:pPr>
          </w:p>
        </w:tc>
        <w:tc>
          <w:tcPr>
            <w:tcW w:w="1122" w:type="dxa"/>
            <w:vAlign w:val="center"/>
          </w:tcPr>
          <w:p>
            <w:pPr>
              <w:spacing w:line="320" w:lineRule="exact"/>
              <w:jc w:val="center"/>
              <w:rPr>
                <w:color w:val="auto"/>
                <w:sz w:val="18"/>
                <w:szCs w:val="18"/>
                <w:u w:val="none"/>
              </w:rPr>
            </w:pPr>
            <w:r>
              <w:rPr>
                <w:rFonts w:hint="eastAsia"/>
                <w:color w:val="auto"/>
                <w:sz w:val="18"/>
                <w:szCs w:val="18"/>
                <w:u w:val="none"/>
              </w:rPr>
              <w:t>组织部、各党总支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608" w:type="dxa"/>
            <w:vMerge w:val="restart"/>
            <w:vAlign w:val="center"/>
          </w:tcPr>
          <w:p>
            <w:pPr>
              <w:spacing w:line="320" w:lineRule="exact"/>
              <w:jc w:val="left"/>
              <w:rPr>
                <w:rFonts w:ascii="楷体_GB2312" w:hAnsi="楷体_GB2312" w:eastAsia="楷体_GB2312" w:cs="楷体_GB2312"/>
                <w:b/>
                <w:bCs/>
                <w:color w:val="auto"/>
                <w:szCs w:val="21"/>
              </w:rPr>
            </w:pPr>
            <w:r>
              <w:rPr>
                <w:rFonts w:ascii="楷体_GB2312" w:hAnsi="楷体_GB2312" w:eastAsia="楷体_GB2312" w:cs="楷体_GB2312"/>
                <w:b/>
                <w:bCs/>
                <w:color w:val="auto"/>
                <w:szCs w:val="21"/>
              </w:rPr>
              <w:t>2.</w:t>
            </w:r>
            <w:r>
              <w:rPr>
                <w:rFonts w:hint="eastAsia" w:ascii="楷体_GB2312" w:hAnsi="楷体_GB2312" w:eastAsia="楷体_GB2312" w:cs="楷体_GB2312"/>
                <w:b/>
                <w:bCs/>
                <w:color w:val="auto"/>
                <w:szCs w:val="21"/>
              </w:rPr>
              <w:t>持续加强思想政治工作。</w:t>
            </w:r>
          </w:p>
        </w:tc>
        <w:tc>
          <w:tcPr>
            <w:tcW w:w="4182" w:type="dxa"/>
            <w:vAlign w:val="center"/>
          </w:tcPr>
          <w:p>
            <w:pPr>
              <w:spacing w:line="320" w:lineRule="exact"/>
              <w:rPr>
                <w:rFonts w:ascii="楷体_GB2312" w:hAnsi="楷体_GB2312" w:eastAsia="楷体_GB2312" w:cs="楷体_GB2312"/>
                <w:color w:val="auto"/>
                <w:szCs w:val="21"/>
              </w:rPr>
            </w:pPr>
            <w:r>
              <w:rPr>
                <w:rFonts w:hint="eastAsia" w:ascii="楷体_GB2312" w:hAnsi="楷体_GB2312" w:eastAsia="楷体_GB2312" w:cs="楷体_GB2312"/>
                <w:color w:val="auto"/>
                <w:szCs w:val="21"/>
              </w:rPr>
              <w:t>①学习贯彻全国全省高校思想政治工作会议精神，强化“四个聚焦”，推动构建全员、全程、全方位育人的大思政工作格局。</w:t>
            </w:r>
          </w:p>
        </w:tc>
        <w:tc>
          <w:tcPr>
            <w:tcW w:w="4708" w:type="dxa"/>
            <w:vMerge w:val="continue"/>
            <w:vAlign w:val="center"/>
          </w:tcPr>
          <w:p>
            <w:pPr>
              <w:spacing w:line="320" w:lineRule="exact"/>
              <w:jc w:val="center"/>
              <w:rPr>
                <w:rFonts w:ascii="宋体" w:cs="宋体"/>
                <w:color w:val="auto"/>
                <w:szCs w:val="21"/>
              </w:rPr>
            </w:pPr>
          </w:p>
        </w:tc>
        <w:tc>
          <w:tcPr>
            <w:tcW w:w="1395" w:type="dxa"/>
            <w:vAlign w:val="center"/>
          </w:tcPr>
          <w:p>
            <w:pPr>
              <w:spacing w:line="320" w:lineRule="exact"/>
              <w:jc w:val="center"/>
              <w:rPr>
                <w:rFonts w:ascii="宋体" w:cs="宋体"/>
                <w:color w:val="auto"/>
                <w:szCs w:val="21"/>
              </w:rPr>
            </w:pPr>
          </w:p>
        </w:tc>
        <w:tc>
          <w:tcPr>
            <w:tcW w:w="1110" w:type="dxa"/>
            <w:vMerge w:val="continue"/>
            <w:vAlign w:val="center"/>
          </w:tcPr>
          <w:p>
            <w:pPr>
              <w:spacing w:line="320" w:lineRule="exact"/>
              <w:jc w:val="center"/>
              <w:rPr>
                <w:rFonts w:ascii="宋体" w:cs="宋体"/>
                <w:color w:val="auto"/>
                <w:szCs w:val="21"/>
              </w:rPr>
            </w:pPr>
          </w:p>
        </w:tc>
        <w:tc>
          <w:tcPr>
            <w:tcW w:w="1122" w:type="dxa"/>
            <w:vAlign w:val="center"/>
          </w:tcPr>
          <w:p>
            <w:pPr>
              <w:spacing w:line="320" w:lineRule="exact"/>
              <w:jc w:val="center"/>
              <w:rPr>
                <w:color w:val="auto"/>
                <w:sz w:val="18"/>
                <w:szCs w:val="18"/>
              </w:rPr>
            </w:pPr>
            <w:r>
              <w:rPr>
                <w:rFonts w:hint="eastAsia"/>
                <w:color w:val="auto"/>
                <w:sz w:val="18"/>
                <w:szCs w:val="18"/>
              </w:rPr>
              <w:t>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7" w:hRule="atLeast"/>
          <w:jc w:val="center"/>
        </w:trPr>
        <w:tc>
          <w:tcPr>
            <w:tcW w:w="1608" w:type="dxa"/>
            <w:vMerge w:val="continue"/>
            <w:vAlign w:val="center"/>
          </w:tcPr>
          <w:p>
            <w:pPr>
              <w:spacing w:line="320" w:lineRule="exact"/>
              <w:jc w:val="left"/>
              <w:rPr>
                <w:rFonts w:ascii="楷体_GB2312" w:hAnsi="楷体_GB2312" w:eastAsia="楷体_GB2312" w:cs="楷体_GB2312"/>
                <w:b/>
                <w:bCs/>
                <w:color w:val="auto"/>
                <w:szCs w:val="21"/>
              </w:rPr>
            </w:pPr>
          </w:p>
        </w:tc>
        <w:tc>
          <w:tcPr>
            <w:tcW w:w="4182" w:type="dxa"/>
            <w:vAlign w:val="center"/>
          </w:tcPr>
          <w:p>
            <w:pPr>
              <w:spacing w:line="320" w:lineRule="exact"/>
              <w:rPr>
                <w:rFonts w:ascii="楷体_GB2312" w:hAnsi="楷体_GB2312" w:eastAsia="楷体_GB2312" w:cs="楷体_GB2312"/>
                <w:color w:val="auto"/>
                <w:szCs w:val="21"/>
              </w:rPr>
            </w:pPr>
            <w:r>
              <w:rPr>
                <w:rFonts w:hint="eastAsia" w:ascii="楷体_GB2312" w:hAnsi="楷体_GB2312" w:eastAsia="楷体_GB2312" w:cs="楷体_GB2312"/>
                <w:color w:val="auto"/>
                <w:szCs w:val="21"/>
              </w:rPr>
              <w:t>②严格落实意识形态责任制。实施“思想政治工作质量提升工程”。</w:t>
            </w:r>
          </w:p>
          <w:p>
            <w:pPr>
              <w:spacing w:line="320" w:lineRule="exact"/>
              <w:rPr>
                <w:rFonts w:ascii="楷体_GB2312" w:hAnsi="楷体_GB2312" w:eastAsia="楷体_GB2312" w:cs="楷体_GB2312"/>
                <w:color w:val="auto"/>
                <w:szCs w:val="21"/>
              </w:rPr>
            </w:pPr>
            <w:r>
              <w:rPr>
                <w:rFonts w:hint="eastAsia" w:ascii="楷体_GB2312" w:hAnsi="楷体_GB2312" w:eastAsia="楷体_GB2312" w:cs="楷体_GB2312"/>
                <w:color w:val="auto"/>
                <w:szCs w:val="21"/>
              </w:rPr>
              <w:t>③深入开展社会主义核心价值观和“中国梦”主题教育活动，开展诚信教育、法治教育、社会责任感教育及中华优秀传统文化教育。</w:t>
            </w:r>
          </w:p>
        </w:tc>
        <w:tc>
          <w:tcPr>
            <w:tcW w:w="4708" w:type="dxa"/>
            <w:vMerge w:val="continue"/>
            <w:vAlign w:val="center"/>
          </w:tcPr>
          <w:p>
            <w:pPr>
              <w:spacing w:line="320" w:lineRule="exact"/>
              <w:jc w:val="center"/>
              <w:rPr>
                <w:rFonts w:ascii="宋体" w:cs="宋体"/>
                <w:color w:val="auto"/>
                <w:szCs w:val="21"/>
              </w:rPr>
            </w:pPr>
          </w:p>
        </w:tc>
        <w:tc>
          <w:tcPr>
            <w:tcW w:w="1395" w:type="dxa"/>
            <w:vAlign w:val="center"/>
          </w:tcPr>
          <w:p>
            <w:pPr>
              <w:spacing w:line="320" w:lineRule="exact"/>
              <w:jc w:val="center"/>
              <w:rPr>
                <w:rFonts w:ascii="宋体" w:cs="宋体"/>
                <w:color w:val="auto"/>
                <w:szCs w:val="21"/>
              </w:rPr>
            </w:pPr>
          </w:p>
        </w:tc>
        <w:tc>
          <w:tcPr>
            <w:tcW w:w="1110" w:type="dxa"/>
            <w:vMerge w:val="continue"/>
            <w:vAlign w:val="center"/>
          </w:tcPr>
          <w:p>
            <w:pPr>
              <w:spacing w:line="320" w:lineRule="exact"/>
              <w:jc w:val="center"/>
              <w:rPr>
                <w:rFonts w:ascii="宋体" w:cs="宋体"/>
                <w:color w:val="auto"/>
                <w:szCs w:val="21"/>
              </w:rPr>
            </w:pPr>
          </w:p>
        </w:tc>
        <w:tc>
          <w:tcPr>
            <w:tcW w:w="1122" w:type="dxa"/>
            <w:vAlign w:val="center"/>
          </w:tcPr>
          <w:p>
            <w:pPr>
              <w:spacing w:line="320" w:lineRule="exact"/>
              <w:jc w:val="center"/>
              <w:rPr>
                <w:color w:val="auto"/>
                <w:sz w:val="18"/>
                <w:szCs w:val="18"/>
              </w:rPr>
            </w:pPr>
            <w:r>
              <w:rPr>
                <w:rFonts w:hint="eastAsia"/>
                <w:color w:val="auto"/>
                <w:sz w:val="18"/>
                <w:szCs w:val="18"/>
              </w:rPr>
              <w:t>学工部</w:t>
            </w:r>
          </w:p>
          <w:p>
            <w:pPr>
              <w:spacing w:line="320" w:lineRule="exact"/>
              <w:jc w:val="center"/>
              <w:rPr>
                <w:color w:val="auto"/>
                <w:sz w:val="18"/>
                <w:szCs w:val="18"/>
              </w:rPr>
            </w:pPr>
            <w:r>
              <w:rPr>
                <w:rFonts w:hint="eastAsia"/>
                <w:color w:val="auto"/>
                <w:sz w:val="18"/>
                <w:szCs w:val="18"/>
              </w:rPr>
              <w:t>团</w:t>
            </w:r>
            <w:r>
              <w:rPr>
                <w:color w:val="auto"/>
                <w:sz w:val="18"/>
                <w:szCs w:val="18"/>
              </w:rPr>
              <w:t xml:space="preserve">  </w:t>
            </w:r>
            <w:r>
              <w:rPr>
                <w:rFonts w:hint="eastAsia"/>
                <w:color w:val="auto"/>
                <w:sz w:val="18"/>
                <w:szCs w:val="18"/>
              </w:rPr>
              <w:t>委</w:t>
            </w:r>
          </w:p>
          <w:p>
            <w:pPr>
              <w:spacing w:line="320" w:lineRule="exact"/>
              <w:jc w:val="center"/>
              <w:rPr>
                <w:color w:val="auto"/>
                <w:sz w:val="18"/>
                <w:szCs w:val="18"/>
              </w:rPr>
            </w:pPr>
            <w:r>
              <w:rPr>
                <w:rFonts w:hint="eastAsia"/>
                <w:color w:val="auto"/>
                <w:sz w:val="18"/>
                <w:szCs w:val="18"/>
              </w:rPr>
              <w:t>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82" w:hRule="atLeast"/>
          <w:jc w:val="center"/>
        </w:trPr>
        <w:tc>
          <w:tcPr>
            <w:tcW w:w="1608" w:type="dxa"/>
            <w:vMerge w:val="continue"/>
            <w:vAlign w:val="center"/>
          </w:tcPr>
          <w:p>
            <w:pPr>
              <w:spacing w:line="320" w:lineRule="exact"/>
              <w:jc w:val="left"/>
              <w:rPr>
                <w:rFonts w:ascii="楷体_GB2312" w:hAnsi="楷体_GB2312" w:eastAsia="楷体_GB2312" w:cs="楷体_GB2312"/>
                <w:b/>
                <w:bCs/>
                <w:color w:val="auto"/>
                <w:szCs w:val="21"/>
              </w:rPr>
            </w:pPr>
          </w:p>
        </w:tc>
        <w:tc>
          <w:tcPr>
            <w:tcW w:w="4182" w:type="dxa"/>
            <w:vAlign w:val="center"/>
          </w:tcPr>
          <w:p>
            <w:pPr>
              <w:spacing w:line="320" w:lineRule="exact"/>
              <w:rPr>
                <w:rFonts w:ascii="楷体_GB2312" w:hAnsi="楷体_GB2312" w:eastAsia="楷体_GB2312" w:cs="楷体_GB2312"/>
                <w:color w:val="auto"/>
                <w:szCs w:val="21"/>
              </w:rPr>
            </w:pPr>
            <w:r>
              <w:rPr>
                <w:rFonts w:hint="eastAsia" w:ascii="楷体_GB2312" w:hAnsi="楷体_GB2312" w:eastAsia="楷体_GB2312" w:cs="楷体_GB2312"/>
                <w:color w:val="auto"/>
                <w:szCs w:val="21"/>
              </w:rPr>
              <w:t>④继续加强马克思主义学院建设，深入推进马克思主义理论重点学科建设，巩固“思想政治理论课教学质量年”活动成果。</w:t>
            </w:r>
          </w:p>
        </w:tc>
        <w:tc>
          <w:tcPr>
            <w:tcW w:w="4708" w:type="dxa"/>
            <w:vAlign w:val="center"/>
          </w:tcPr>
          <w:p>
            <w:pPr>
              <w:spacing w:line="320" w:lineRule="exact"/>
              <w:jc w:val="center"/>
              <w:rPr>
                <w:rFonts w:ascii="宋体" w:cs="宋体"/>
                <w:color w:val="auto"/>
                <w:szCs w:val="21"/>
              </w:rPr>
            </w:pPr>
          </w:p>
        </w:tc>
        <w:tc>
          <w:tcPr>
            <w:tcW w:w="1395" w:type="dxa"/>
            <w:vAlign w:val="center"/>
          </w:tcPr>
          <w:p>
            <w:pPr>
              <w:spacing w:line="320" w:lineRule="exact"/>
              <w:jc w:val="center"/>
              <w:rPr>
                <w:rFonts w:ascii="宋体" w:cs="宋体"/>
                <w:color w:val="auto"/>
                <w:szCs w:val="21"/>
              </w:rPr>
            </w:pPr>
          </w:p>
        </w:tc>
        <w:tc>
          <w:tcPr>
            <w:tcW w:w="1110" w:type="dxa"/>
            <w:vAlign w:val="center"/>
          </w:tcPr>
          <w:p>
            <w:pPr>
              <w:spacing w:line="320" w:lineRule="exact"/>
              <w:jc w:val="center"/>
              <w:rPr>
                <w:rFonts w:ascii="宋体" w:cs="宋体"/>
                <w:color w:val="auto"/>
                <w:szCs w:val="21"/>
              </w:rPr>
            </w:pPr>
            <w:r>
              <w:rPr>
                <w:rFonts w:hint="eastAsia" w:ascii="宋体" w:hAnsi="宋体" w:cs="宋体"/>
                <w:color w:val="auto"/>
                <w:szCs w:val="21"/>
              </w:rPr>
              <w:t>马克思主义学院</w:t>
            </w:r>
          </w:p>
        </w:tc>
        <w:tc>
          <w:tcPr>
            <w:tcW w:w="1122" w:type="dxa"/>
            <w:vAlign w:val="center"/>
          </w:tcPr>
          <w:p>
            <w:pPr>
              <w:spacing w:line="320" w:lineRule="exact"/>
              <w:jc w:val="center"/>
              <w:rPr>
                <w:color w:val="auto"/>
                <w:sz w:val="18"/>
                <w:szCs w:val="18"/>
              </w:rPr>
            </w:pPr>
            <w:r>
              <w:rPr>
                <w:rFonts w:hint="eastAsia"/>
                <w:color w:val="auto"/>
                <w:sz w:val="18"/>
                <w:szCs w:val="18"/>
              </w:rPr>
              <w:t>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jc w:val="center"/>
        </w:trPr>
        <w:tc>
          <w:tcPr>
            <w:tcW w:w="1608" w:type="dxa"/>
            <w:vMerge w:val="restart"/>
            <w:vAlign w:val="center"/>
          </w:tcPr>
          <w:p>
            <w:pPr>
              <w:spacing w:line="320" w:lineRule="exact"/>
              <w:jc w:val="left"/>
              <w:rPr>
                <w:rFonts w:ascii="楷体_GB2312" w:hAnsi="楷体_GB2312" w:eastAsia="楷体_GB2312" w:cs="楷体_GB2312"/>
                <w:b/>
                <w:bCs/>
                <w:color w:val="auto"/>
                <w:szCs w:val="21"/>
              </w:rPr>
            </w:pPr>
          </w:p>
          <w:p>
            <w:pPr>
              <w:spacing w:line="320" w:lineRule="exact"/>
              <w:jc w:val="left"/>
              <w:rPr>
                <w:rFonts w:hint="eastAsia" w:ascii="楷体_GB2312" w:hAnsi="楷体_GB2312" w:eastAsia="楷体_GB2312" w:cs="楷体_GB2312"/>
                <w:b/>
                <w:bCs/>
                <w:color w:val="auto"/>
                <w:szCs w:val="21"/>
                <w:lang w:val="en-US" w:eastAsia="zh-CN"/>
              </w:rPr>
            </w:pPr>
          </w:p>
          <w:p>
            <w:pPr>
              <w:spacing w:line="320" w:lineRule="exact"/>
              <w:jc w:val="left"/>
              <w:rPr>
                <w:rFonts w:ascii="楷体_GB2312" w:hAnsi="楷体_GB2312" w:eastAsia="楷体_GB2312" w:cs="楷体_GB2312"/>
                <w:b/>
                <w:bCs/>
                <w:color w:val="auto"/>
                <w:szCs w:val="21"/>
              </w:rPr>
            </w:pPr>
            <w:r>
              <w:rPr>
                <w:rFonts w:hint="eastAsia" w:ascii="楷体_GB2312" w:hAnsi="楷体_GB2312" w:eastAsia="楷体_GB2312" w:cs="楷体_GB2312"/>
                <w:b/>
                <w:bCs/>
                <w:color w:val="auto"/>
                <w:szCs w:val="21"/>
                <w:lang w:val="en-US" w:eastAsia="zh-CN"/>
              </w:rPr>
              <w:t>3</w:t>
            </w:r>
            <w:r>
              <w:rPr>
                <w:rFonts w:ascii="楷体_GB2312" w:hAnsi="楷体_GB2312" w:eastAsia="楷体_GB2312" w:cs="楷体_GB2312"/>
                <w:b/>
                <w:bCs/>
                <w:color w:val="auto"/>
                <w:szCs w:val="21"/>
              </w:rPr>
              <w:t>.</w:t>
            </w:r>
            <w:r>
              <w:rPr>
                <w:rFonts w:hint="eastAsia" w:ascii="楷体_GB2312" w:hAnsi="楷体_GB2312" w:eastAsia="楷体_GB2312" w:cs="楷体_GB2312"/>
                <w:b/>
                <w:bCs/>
                <w:color w:val="auto"/>
                <w:szCs w:val="21"/>
              </w:rPr>
              <w:t>切实加强基层党建工作。</w:t>
            </w:r>
          </w:p>
        </w:tc>
        <w:tc>
          <w:tcPr>
            <w:tcW w:w="4182" w:type="dxa"/>
            <w:vAlign w:val="center"/>
          </w:tcPr>
          <w:p>
            <w:pPr>
              <w:spacing w:line="320" w:lineRule="exact"/>
              <w:rPr>
                <w:rFonts w:ascii="楷体_GB2312" w:hAnsi="楷体_GB2312" w:eastAsia="楷体_GB2312" w:cs="楷体_GB2312"/>
                <w:color w:val="auto"/>
                <w:szCs w:val="21"/>
              </w:rPr>
            </w:pPr>
            <w:r>
              <w:rPr>
                <w:rFonts w:hint="eastAsia" w:ascii="楷体_GB2312" w:hAnsi="楷体_GB2312" w:eastAsia="楷体_GB2312" w:cs="楷体_GB2312"/>
                <w:color w:val="auto"/>
                <w:szCs w:val="21"/>
              </w:rPr>
              <w:t>①确立</w:t>
            </w:r>
            <w:r>
              <w:rPr>
                <w:rFonts w:ascii="楷体_GB2312" w:hAnsi="楷体_GB2312" w:eastAsia="楷体_GB2312" w:cs="楷体_GB2312"/>
                <w:color w:val="auto"/>
                <w:szCs w:val="21"/>
              </w:rPr>
              <w:t>2018</w:t>
            </w:r>
            <w:r>
              <w:rPr>
                <w:rFonts w:hint="eastAsia" w:ascii="楷体_GB2312" w:hAnsi="楷体_GB2312" w:eastAsia="楷体_GB2312" w:cs="楷体_GB2312"/>
                <w:color w:val="auto"/>
                <w:szCs w:val="21"/>
              </w:rPr>
              <w:t>年为党建质量年。</w:t>
            </w:r>
          </w:p>
          <w:p>
            <w:pPr>
              <w:spacing w:line="320" w:lineRule="exact"/>
              <w:rPr>
                <w:rFonts w:ascii="楷体_GB2312" w:hAnsi="楷体_GB2312" w:eastAsia="楷体_GB2312" w:cs="楷体_GB2312"/>
                <w:color w:val="auto"/>
                <w:szCs w:val="21"/>
              </w:rPr>
            </w:pPr>
            <w:r>
              <w:rPr>
                <w:rFonts w:hint="eastAsia" w:ascii="楷体_GB2312" w:hAnsi="楷体_GB2312" w:eastAsia="楷体_GB2312" w:cs="楷体_GB2312"/>
                <w:color w:val="auto"/>
                <w:szCs w:val="21"/>
              </w:rPr>
              <w:t>②继续巩固“两学一做”学习教育制度化常态化成果。</w:t>
            </w:r>
          </w:p>
          <w:p>
            <w:pPr>
              <w:spacing w:line="32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③落实党建工作责任制，深入实施教师党支部</w:t>
            </w:r>
            <w:r>
              <w:rPr>
                <w:rFonts w:hint="eastAsia" w:ascii="楷体_GB2312" w:hAnsi="楷体_GB2312" w:eastAsia="楷体_GB2312" w:cs="楷体_GB2312"/>
                <w:color w:val="auto"/>
                <w:szCs w:val="21"/>
                <w:lang w:eastAsia="zh-CN"/>
              </w:rPr>
              <w:t>书记</w:t>
            </w:r>
            <w:r>
              <w:rPr>
                <w:rFonts w:hint="eastAsia" w:ascii="楷体_GB2312" w:hAnsi="楷体_GB2312" w:eastAsia="楷体_GB2312" w:cs="楷体_GB2312"/>
                <w:color w:val="auto"/>
                <w:szCs w:val="21"/>
              </w:rPr>
              <w:t>“双带头人”工程，深入实施党总支书记基层党建述职评议考核，举办“党务工作论坛”。</w:t>
            </w:r>
          </w:p>
          <w:p>
            <w:pPr>
              <w:spacing w:line="32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④深入推进基层党组织标准化建设，启动“基层党组织标准化建设提升工程”，组织开展“支部建设年”活动，开展“优秀主题党日”“先进基层党组织”创建活动。</w:t>
            </w:r>
          </w:p>
          <w:p>
            <w:pPr>
              <w:spacing w:line="32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⑤坚持党建工作月例会制度，发挥党建工作服务中心作用。</w:t>
            </w:r>
          </w:p>
        </w:tc>
        <w:tc>
          <w:tcPr>
            <w:tcW w:w="4708" w:type="dxa"/>
            <w:vMerge w:val="restart"/>
            <w:vAlign w:val="center"/>
          </w:tcPr>
          <w:p>
            <w:pPr>
              <w:spacing w:line="320" w:lineRule="exact"/>
              <w:jc w:val="center"/>
              <w:rPr>
                <w:rFonts w:hint="eastAsia" w:ascii="宋体" w:hAnsi="宋体" w:cs="宋体"/>
                <w:color w:val="auto"/>
                <w:szCs w:val="21"/>
              </w:rPr>
            </w:pPr>
          </w:p>
          <w:p>
            <w:pPr>
              <w:spacing w:line="320" w:lineRule="exact"/>
              <w:jc w:val="center"/>
              <w:rPr>
                <w:rFonts w:hint="eastAsia" w:ascii="宋体" w:hAnsi="宋体" w:cs="宋体"/>
                <w:color w:val="auto"/>
                <w:szCs w:val="21"/>
              </w:rPr>
            </w:pPr>
          </w:p>
          <w:p>
            <w:pPr>
              <w:spacing w:line="320" w:lineRule="exact"/>
              <w:jc w:val="center"/>
              <w:rPr>
                <w:rFonts w:hint="eastAsia" w:ascii="宋体" w:hAnsi="宋体" w:cs="宋体"/>
                <w:color w:val="auto"/>
                <w:szCs w:val="21"/>
              </w:rPr>
            </w:pPr>
          </w:p>
          <w:p>
            <w:pPr>
              <w:spacing w:line="320" w:lineRule="exact"/>
              <w:jc w:val="both"/>
              <w:rPr>
                <w:rFonts w:hint="eastAsia" w:ascii="宋体" w:hAnsi="宋体" w:cs="宋体"/>
                <w:color w:val="auto"/>
                <w:szCs w:val="21"/>
              </w:rPr>
            </w:pPr>
          </w:p>
          <w:p>
            <w:pPr>
              <w:spacing w:line="320" w:lineRule="exact"/>
              <w:jc w:val="center"/>
              <w:rPr>
                <w:rFonts w:hint="eastAsia" w:ascii="宋体" w:hAnsi="宋体" w:cs="宋体"/>
                <w:color w:val="auto"/>
                <w:szCs w:val="21"/>
              </w:rPr>
            </w:pPr>
          </w:p>
        </w:tc>
        <w:tc>
          <w:tcPr>
            <w:tcW w:w="1395" w:type="dxa"/>
            <w:vAlign w:val="center"/>
          </w:tcPr>
          <w:p>
            <w:pPr>
              <w:spacing w:line="320" w:lineRule="exact"/>
              <w:jc w:val="center"/>
              <w:rPr>
                <w:rFonts w:hint="eastAsia" w:ascii="宋体" w:hAnsi="宋体" w:cs="宋体"/>
                <w:color w:val="auto"/>
                <w:szCs w:val="21"/>
              </w:rPr>
            </w:pPr>
          </w:p>
        </w:tc>
        <w:tc>
          <w:tcPr>
            <w:tcW w:w="1110" w:type="dxa"/>
            <w:vAlign w:val="center"/>
          </w:tcPr>
          <w:p>
            <w:pPr>
              <w:spacing w:line="320" w:lineRule="exact"/>
              <w:jc w:val="center"/>
              <w:rPr>
                <w:rFonts w:hint="eastAsia" w:ascii="宋体" w:hAnsi="宋体" w:cs="宋体"/>
                <w:color w:val="auto"/>
                <w:szCs w:val="21"/>
              </w:rPr>
            </w:pPr>
            <w:r>
              <w:rPr>
                <w:rFonts w:hint="eastAsia"/>
                <w:color w:val="auto"/>
                <w:sz w:val="18"/>
                <w:szCs w:val="18"/>
              </w:rPr>
              <w:t>组织部</w:t>
            </w:r>
          </w:p>
        </w:tc>
        <w:tc>
          <w:tcPr>
            <w:tcW w:w="1122" w:type="dxa"/>
            <w:vAlign w:val="center"/>
          </w:tcPr>
          <w:p>
            <w:pPr>
              <w:spacing w:line="320" w:lineRule="exact"/>
              <w:jc w:val="center"/>
              <w:rPr>
                <w:rFonts w:hint="eastAsia"/>
                <w:color w:val="auto"/>
                <w:sz w:val="18"/>
                <w:szCs w:val="18"/>
              </w:rPr>
            </w:pPr>
            <w:r>
              <w:rPr>
                <w:rFonts w:hint="eastAsia"/>
                <w:color w:val="auto"/>
                <w:sz w:val="18"/>
                <w:szCs w:val="18"/>
              </w:rPr>
              <w:t>各党总支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1608" w:type="dxa"/>
            <w:vMerge w:val="continue"/>
            <w:vAlign w:val="center"/>
          </w:tcPr>
          <w:p>
            <w:pPr>
              <w:spacing w:line="320" w:lineRule="exact"/>
              <w:jc w:val="left"/>
              <w:rPr>
                <w:rFonts w:ascii="楷体_GB2312" w:hAnsi="楷体_GB2312" w:eastAsia="楷体_GB2312" w:cs="楷体_GB2312"/>
                <w:b/>
                <w:bCs/>
                <w:color w:val="auto"/>
                <w:szCs w:val="21"/>
              </w:rPr>
            </w:pPr>
          </w:p>
        </w:tc>
        <w:tc>
          <w:tcPr>
            <w:tcW w:w="4182" w:type="dxa"/>
            <w:vAlign w:val="center"/>
          </w:tcPr>
          <w:p>
            <w:pPr>
              <w:spacing w:line="32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⑥召开第三次党代会。</w:t>
            </w:r>
          </w:p>
        </w:tc>
        <w:tc>
          <w:tcPr>
            <w:tcW w:w="4708" w:type="dxa"/>
            <w:vMerge w:val="continue"/>
            <w:vAlign w:val="center"/>
          </w:tcPr>
          <w:p>
            <w:pPr>
              <w:spacing w:line="320" w:lineRule="exact"/>
              <w:jc w:val="center"/>
              <w:rPr>
                <w:rFonts w:hint="eastAsia" w:ascii="宋体" w:hAnsi="宋体" w:cs="宋体"/>
                <w:color w:val="auto"/>
                <w:szCs w:val="21"/>
              </w:rPr>
            </w:pPr>
          </w:p>
        </w:tc>
        <w:tc>
          <w:tcPr>
            <w:tcW w:w="1395" w:type="dxa"/>
            <w:vAlign w:val="center"/>
          </w:tcPr>
          <w:p>
            <w:pPr>
              <w:spacing w:line="320" w:lineRule="exact"/>
              <w:jc w:val="center"/>
              <w:rPr>
                <w:rFonts w:hint="eastAsia" w:ascii="宋体" w:hAnsi="宋体" w:cs="宋体"/>
                <w:color w:val="auto"/>
                <w:szCs w:val="21"/>
              </w:rPr>
            </w:pPr>
          </w:p>
        </w:tc>
        <w:tc>
          <w:tcPr>
            <w:tcW w:w="1110" w:type="dxa"/>
            <w:vAlign w:val="center"/>
          </w:tcPr>
          <w:p>
            <w:pPr>
              <w:spacing w:line="320" w:lineRule="exact"/>
              <w:jc w:val="center"/>
              <w:rPr>
                <w:rFonts w:hint="eastAsia" w:ascii="宋体" w:hAnsi="宋体" w:cs="宋体"/>
                <w:color w:val="auto"/>
                <w:szCs w:val="21"/>
              </w:rPr>
            </w:pPr>
            <w:r>
              <w:rPr>
                <w:rFonts w:hint="eastAsia"/>
                <w:color w:val="auto"/>
                <w:sz w:val="18"/>
                <w:szCs w:val="18"/>
              </w:rPr>
              <w:t>组织部</w:t>
            </w:r>
          </w:p>
        </w:tc>
        <w:tc>
          <w:tcPr>
            <w:tcW w:w="1122" w:type="dxa"/>
            <w:vAlign w:val="center"/>
          </w:tcPr>
          <w:p>
            <w:pPr>
              <w:spacing w:line="320" w:lineRule="exact"/>
              <w:jc w:val="center"/>
              <w:rPr>
                <w:rFonts w:hint="eastAsia"/>
                <w:color w:val="auto"/>
                <w:sz w:val="18"/>
                <w:szCs w:val="18"/>
              </w:rPr>
            </w:pPr>
            <w:r>
              <w:rPr>
                <w:rFonts w:hint="eastAsia"/>
                <w:color w:val="auto"/>
                <w:sz w:val="18"/>
                <w:szCs w:val="18"/>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1608" w:type="dxa"/>
            <w:vMerge w:val="continue"/>
            <w:vAlign w:val="center"/>
          </w:tcPr>
          <w:p>
            <w:pPr>
              <w:spacing w:line="320" w:lineRule="exact"/>
              <w:jc w:val="left"/>
              <w:rPr>
                <w:rFonts w:ascii="楷体_GB2312" w:hAnsi="楷体_GB2312" w:eastAsia="楷体_GB2312" w:cs="楷体_GB2312"/>
                <w:b/>
                <w:bCs/>
                <w:color w:val="auto"/>
                <w:szCs w:val="21"/>
              </w:rPr>
            </w:pPr>
          </w:p>
        </w:tc>
        <w:tc>
          <w:tcPr>
            <w:tcW w:w="4182" w:type="dxa"/>
            <w:vAlign w:val="center"/>
          </w:tcPr>
          <w:p>
            <w:pPr>
              <w:spacing w:line="32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⑦积极推进党务公开、校务公开，保障和落实师生员工知情权、参与权和监督权。</w:t>
            </w:r>
          </w:p>
        </w:tc>
        <w:tc>
          <w:tcPr>
            <w:tcW w:w="4708" w:type="dxa"/>
            <w:vAlign w:val="center"/>
          </w:tcPr>
          <w:p>
            <w:pPr>
              <w:spacing w:line="320" w:lineRule="exact"/>
              <w:jc w:val="center"/>
              <w:rPr>
                <w:rFonts w:hint="eastAsia" w:ascii="宋体" w:hAnsi="宋体" w:cs="宋体"/>
                <w:color w:val="auto"/>
                <w:szCs w:val="21"/>
              </w:rPr>
            </w:pPr>
          </w:p>
        </w:tc>
        <w:tc>
          <w:tcPr>
            <w:tcW w:w="1395" w:type="dxa"/>
            <w:vAlign w:val="center"/>
          </w:tcPr>
          <w:p>
            <w:pPr>
              <w:spacing w:line="320" w:lineRule="exact"/>
              <w:jc w:val="center"/>
              <w:rPr>
                <w:rFonts w:hint="eastAsia" w:ascii="宋体" w:hAnsi="宋体" w:cs="宋体"/>
                <w:color w:val="auto"/>
                <w:szCs w:val="21"/>
              </w:rPr>
            </w:pPr>
          </w:p>
        </w:tc>
        <w:tc>
          <w:tcPr>
            <w:tcW w:w="1110" w:type="dxa"/>
            <w:vAlign w:val="center"/>
          </w:tcPr>
          <w:p>
            <w:pPr>
              <w:spacing w:line="320" w:lineRule="exact"/>
              <w:jc w:val="center"/>
              <w:rPr>
                <w:rFonts w:hint="eastAsia" w:ascii="宋体" w:hAnsi="宋体" w:cs="宋体"/>
                <w:color w:val="auto"/>
                <w:szCs w:val="21"/>
              </w:rPr>
            </w:pPr>
            <w:r>
              <w:rPr>
                <w:rFonts w:hint="eastAsia"/>
                <w:color w:val="auto"/>
                <w:sz w:val="18"/>
                <w:szCs w:val="18"/>
              </w:rPr>
              <w:t>办公室</w:t>
            </w:r>
          </w:p>
        </w:tc>
        <w:tc>
          <w:tcPr>
            <w:tcW w:w="1122" w:type="dxa"/>
            <w:vAlign w:val="center"/>
          </w:tcPr>
          <w:p>
            <w:pPr>
              <w:spacing w:line="320" w:lineRule="exact"/>
              <w:jc w:val="center"/>
              <w:rPr>
                <w:rFonts w:hint="eastAsia"/>
                <w:color w:val="auto"/>
                <w:sz w:val="18"/>
                <w:szCs w:val="18"/>
              </w:rPr>
            </w:pPr>
            <w:r>
              <w:rPr>
                <w:rFonts w:hint="eastAsia"/>
                <w:color w:val="auto"/>
                <w:sz w:val="18"/>
                <w:szCs w:val="18"/>
              </w:rPr>
              <w:t>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jc w:val="center"/>
        </w:trPr>
        <w:tc>
          <w:tcPr>
            <w:tcW w:w="1608" w:type="dxa"/>
            <w:vMerge w:val="continue"/>
            <w:vAlign w:val="center"/>
          </w:tcPr>
          <w:p>
            <w:pPr>
              <w:spacing w:line="320" w:lineRule="exact"/>
              <w:jc w:val="left"/>
              <w:rPr>
                <w:rFonts w:ascii="楷体_GB2312" w:hAnsi="楷体_GB2312" w:eastAsia="楷体_GB2312" w:cs="楷体_GB2312"/>
                <w:b/>
                <w:bCs/>
                <w:color w:val="auto"/>
                <w:szCs w:val="21"/>
              </w:rPr>
            </w:pPr>
          </w:p>
        </w:tc>
        <w:tc>
          <w:tcPr>
            <w:tcW w:w="4182" w:type="dxa"/>
            <w:vAlign w:val="center"/>
          </w:tcPr>
          <w:p>
            <w:pPr>
              <w:spacing w:line="32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⑧继续开展基层党组织结对共建活动，抓好扶贫攻坚工作，完成定点帮扶、定向采购、脱贫攻坚第三方监测评估等任务。</w:t>
            </w:r>
          </w:p>
        </w:tc>
        <w:tc>
          <w:tcPr>
            <w:tcW w:w="4708" w:type="dxa"/>
            <w:vAlign w:val="center"/>
          </w:tcPr>
          <w:p>
            <w:pPr>
              <w:spacing w:line="320" w:lineRule="exact"/>
              <w:jc w:val="center"/>
              <w:rPr>
                <w:rFonts w:hint="eastAsia" w:ascii="宋体" w:hAnsi="宋体" w:cs="宋体"/>
                <w:color w:val="auto"/>
                <w:szCs w:val="21"/>
              </w:rPr>
            </w:pPr>
          </w:p>
        </w:tc>
        <w:tc>
          <w:tcPr>
            <w:tcW w:w="1395" w:type="dxa"/>
            <w:vAlign w:val="center"/>
          </w:tcPr>
          <w:p>
            <w:pPr>
              <w:spacing w:line="320" w:lineRule="exact"/>
              <w:jc w:val="center"/>
              <w:rPr>
                <w:rFonts w:hint="eastAsia" w:ascii="宋体" w:hAnsi="宋体" w:cs="宋体"/>
                <w:color w:val="auto"/>
                <w:szCs w:val="21"/>
              </w:rPr>
            </w:pPr>
          </w:p>
        </w:tc>
        <w:tc>
          <w:tcPr>
            <w:tcW w:w="1110" w:type="dxa"/>
            <w:vAlign w:val="center"/>
          </w:tcPr>
          <w:p>
            <w:pPr>
              <w:spacing w:line="320" w:lineRule="exact"/>
              <w:jc w:val="center"/>
              <w:rPr>
                <w:color w:val="auto"/>
                <w:sz w:val="18"/>
                <w:szCs w:val="18"/>
              </w:rPr>
            </w:pPr>
            <w:r>
              <w:rPr>
                <w:rFonts w:hint="eastAsia"/>
                <w:color w:val="auto"/>
                <w:sz w:val="18"/>
                <w:szCs w:val="18"/>
              </w:rPr>
              <w:t>组织部</w:t>
            </w:r>
          </w:p>
          <w:p>
            <w:pPr>
              <w:spacing w:line="320" w:lineRule="exact"/>
              <w:jc w:val="center"/>
              <w:rPr>
                <w:color w:val="auto"/>
                <w:sz w:val="18"/>
                <w:szCs w:val="18"/>
              </w:rPr>
            </w:pPr>
            <w:r>
              <w:rPr>
                <w:rFonts w:hint="eastAsia"/>
                <w:color w:val="auto"/>
                <w:sz w:val="18"/>
                <w:szCs w:val="18"/>
              </w:rPr>
              <w:t>工</w:t>
            </w:r>
            <w:r>
              <w:rPr>
                <w:color w:val="auto"/>
                <w:sz w:val="18"/>
                <w:szCs w:val="18"/>
              </w:rPr>
              <w:t xml:space="preserve">  </w:t>
            </w:r>
            <w:r>
              <w:rPr>
                <w:rFonts w:hint="eastAsia"/>
                <w:color w:val="auto"/>
                <w:sz w:val="18"/>
                <w:szCs w:val="18"/>
              </w:rPr>
              <w:t>会</w:t>
            </w:r>
          </w:p>
          <w:p>
            <w:pPr>
              <w:spacing w:line="320" w:lineRule="exact"/>
              <w:jc w:val="center"/>
              <w:rPr>
                <w:rFonts w:hint="eastAsia" w:ascii="宋体" w:hAnsi="宋体" w:cs="宋体"/>
                <w:color w:val="auto"/>
                <w:szCs w:val="21"/>
              </w:rPr>
            </w:pPr>
            <w:r>
              <w:rPr>
                <w:rFonts w:hint="eastAsia"/>
                <w:color w:val="auto"/>
                <w:sz w:val="18"/>
                <w:szCs w:val="18"/>
              </w:rPr>
              <w:t>后勤管理处</w:t>
            </w:r>
          </w:p>
        </w:tc>
        <w:tc>
          <w:tcPr>
            <w:tcW w:w="1122" w:type="dxa"/>
            <w:vAlign w:val="center"/>
          </w:tcPr>
          <w:p>
            <w:pPr>
              <w:spacing w:line="320" w:lineRule="exact"/>
              <w:jc w:val="center"/>
              <w:rPr>
                <w:rFonts w:hint="eastAsia"/>
                <w:color w:val="auto"/>
                <w:sz w:val="18"/>
                <w:szCs w:val="18"/>
              </w:rPr>
            </w:pPr>
            <w:r>
              <w:rPr>
                <w:rFonts w:hint="eastAsia"/>
                <w:color w:val="auto"/>
                <w:sz w:val="18"/>
                <w:szCs w:val="18"/>
              </w:rPr>
              <w:t>相关部门、二级学院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1608" w:type="dxa"/>
            <w:vMerge w:val="restart"/>
            <w:vAlign w:val="center"/>
          </w:tcPr>
          <w:p>
            <w:pPr>
              <w:spacing w:line="320" w:lineRule="exact"/>
              <w:jc w:val="left"/>
              <w:rPr>
                <w:rFonts w:ascii="楷体_GB2312" w:hAnsi="楷体_GB2312" w:eastAsia="楷体_GB2312" w:cs="楷体_GB2312"/>
                <w:b/>
                <w:bCs/>
                <w:color w:val="auto"/>
                <w:szCs w:val="21"/>
              </w:rPr>
            </w:pPr>
            <w:r>
              <w:rPr>
                <w:rFonts w:hint="eastAsia" w:ascii="楷体_GB2312" w:hAnsi="楷体_GB2312" w:eastAsia="楷体_GB2312" w:cs="楷体_GB2312"/>
                <w:b/>
                <w:bCs/>
                <w:color w:val="auto"/>
                <w:szCs w:val="21"/>
                <w:lang w:val="en-US" w:eastAsia="zh-CN"/>
              </w:rPr>
              <w:t>4</w:t>
            </w:r>
            <w:r>
              <w:rPr>
                <w:rFonts w:ascii="楷体_GB2312" w:hAnsi="楷体_GB2312" w:eastAsia="楷体_GB2312" w:cs="楷体_GB2312"/>
                <w:b/>
                <w:bCs/>
                <w:color w:val="auto"/>
                <w:szCs w:val="21"/>
              </w:rPr>
              <w:t>.</w:t>
            </w:r>
            <w:r>
              <w:rPr>
                <w:rFonts w:hint="eastAsia" w:ascii="楷体_GB2312" w:hAnsi="楷体_GB2312" w:eastAsia="楷体_GB2312" w:cs="楷体_GB2312"/>
                <w:b/>
                <w:bCs/>
                <w:color w:val="auto"/>
                <w:szCs w:val="21"/>
              </w:rPr>
              <w:t>加强人才和干部队伍建设。</w:t>
            </w:r>
          </w:p>
        </w:tc>
        <w:tc>
          <w:tcPr>
            <w:tcW w:w="4182" w:type="dxa"/>
            <w:vAlign w:val="center"/>
          </w:tcPr>
          <w:p>
            <w:pPr>
              <w:spacing w:line="320" w:lineRule="exact"/>
              <w:rPr>
                <w:rFonts w:ascii="楷体_GB2312" w:hAnsi="楷体_GB2312" w:eastAsia="楷体_GB2312" w:cs="楷体_GB2312"/>
                <w:color w:val="auto"/>
                <w:szCs w:val="21"/>
              </w:rPr>
            </w:pPr>
            <w:r>
              <w:rPr>
                <w:rFonts w:hint="eastAsia" w:ascii="楷体_GB2312" w:hAnsi="楷体_GB2312" w:eastAsia="楷体_GB2312" w:cs="楷体_GB2312"/>
                <w:color w:val="auto"/>
                <w:szCs w:val="21"/>
              </w:rPr>
              <w:t>①切实加强党对人才工作的领导，把高层次人才与团队建设纳入党委议事日程，全面贯彻落实国家和省人才工作政策。</w:t>
            </w:r>
          </w:p>
          <w:p>
            <w:pPr>
              <w:spacing w:line="320" w:lineRule="exact"/>
              <w:rPr>
                <w:rFonts w:ascii="楷体_GB2312" w:hAnsi="楷体_GB2312" w:eastAsia="楷体_GB2312" w:cs="楷体_GB2312"/>
                <w:color w:val="auto"/>
                <w:szCs w:val="21"/>
              </w:rPr>
            </w:pPr>
            <w:r>
              <w:rPr>
                <w:rFonts w:hint="eastAsia" w:ascii="楷体_GB2312" w:hAnsi="楷体_GB2312" w:eastAsia="楷体_GB2312" w:cs="楷体_GB2312"/>
                <w:color w:val="auto"/>
                <w:szCs w:val="21"/>
              </w:rPr>
              <w:t>②坚持引培结合，继续实施“博士化工程”“高层次人才工程”。</w:t>
            </w:r>
          </w:p>
          <w:p>
            <w:pPr>
              <w:spacing w:line="320" w:lineRule="exact"/>
              <w:rPr>
                <w:rFonts w:ascii="楷体_GB2312" w:hAnsi="楷体_GB2312" w:eastAsia="楷体_GB2312" w:cs="楷体_GB2312"/>
                <w:color w:val="auto"/>
                <w:szCs w:val="21"/>
              </w:rPr>
            </w:pPr>
            <w:r>
              <w:rPr>
                <w:rFonts w:hint="eastAsia" w:ascii="楷体_GB2312" w:hAnsi="楷体_GB2312" w:eastAsia="楷体_GB2312" w:cs="楷体_GB2312"/>
                <w:color w:val="auto"/>
                <w:szCs w:val="21"/>
              </w:rPr>
              <w:t>③积极申报省级以上各类人才项目，力争省级三类及以上人才数量有所突破。</w:t>
            </w:r>
          </w:p>
        </w:tc>
        <w:tc>
          <w:tcPr>
            <w:tcW w:w="4708" w:type="dxa"/>
            <w:vAlign w:val="center"/>
          </w:tcPr>
          <w:p>
            <w:pPr>
              <w:spacing w:line="320" w:lineRule="exact"/>
              <w:jc w:val="center"/>
              <w:rPr>
                <w:rFonts w:ascii="宋体" w:cs="宋体"/>
                <w:color w:val="auto"/>
                <w:szCs w:val="21"/>
              </w:rPr>
            </w:pPr>
          </w:p>
        </w:tc>
        <w:tc>
          <w:tcPr>
            <w:tcW w:w="1395" w:type="dxa"/>
            <w:vAlign w:val="center"/>
          </w:tcPr>
          <w:p>
            <w:pPr>
              <w:spacing w:line="320" w:lineRule="exact"/>
              <w:jc w:val="center"/>
              <w:rPr>
                <w:rFonts w:ascii="宋体" w:cs="宋体"/>
                <w:color w:val="auto"/>
                <w:szCs w:val="21"/>
              </w:rPr>
            </w:pPr>
          </w:p>
        </w:tc>
        <w:tc>
          <w:tcPr>
            <w:tcW w:w="1110" w:type="dxa"/>
            <w:vAlign w:val="center"/>
          </w:tcPr>
          <w:p>
            <w:pPr>
              <w:spacing w:line="320" w:lineRule="exact"/>
              <w:jc w:val="center"/>
              <w:rPr>
                <w:rFonts w:ascii="宋体" w:cs="宋体"/>
                <w:color w:val="auto"/>
                <w:szCs w:val="21"/>
              </w:rPr>
            </w:pPr>
            <w:r>
              <w:rPr>
                <w:rFonts w:hint="eastAsia" w:ascii="宋体" w:hAnsi="宋体" w:cs="宋体"/>
                <w:color w:val="auto"/>
                <w:szCs w:val="21"/>
              </w:rPr>
              <w:t>人事处</w:t>
            </w:r>
          </w:p>
        </w:tc>
        <w:tc>
          <w:tcPr>
            <w:tcW w:w="1122" w:type="dxa"/>
            <w:vAlign w:val="center"/>
          </w:tcPr>
          <w:p>
            <w:pPr>
              <w:spacing w:line="320" w:lineRule="exact"/>
              <w:jc w:val="center"/>
              <w:rPr>
                <w:color w:val="auto"/>
                <w:sz w:val="18"/>
                <w:szCs w:val="18"/>
              </w:rPr>
            </w:pPr>
            <w:r>
              <w:rPr>
                <w:rFonts w:hint="eastAsia"/>
                <w:color w:val="auto"/>
                <w:sz w:val="18"/>
                <w:szCs w:val="18"/>
              </w:rPr>
              <w:t>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2" w:hRule="atLeast"/>
          <w:jc w:val="center"/>
        </w:trPr>
        <w:tc>
          <w:tcPr>
            <w:tcW w:w="1608" w:type="dxa"/>
            <w:vMerge w:val="continue"/>
            <w:vAlign w:val="center"/>
          </w:tcPr>
          <w:p>
            <w:pPr>
              <w:spacing w:line="320" w:lineRule="exact"/>
              <w:jc w:val="left"/>
              <w:rPr>
                <w:rFonts w:ascii="楷体_GB2312" w:hAnsi="楷体_GB2312" w:eastAsia="楷体_GB2312" w:cs="楷体_GB2312"/>
                <w:b/>
                <w:bCs/>
                <w:color w:val="auto"/>
                <w:szCs w:val="21"/>
              </w:rPr>
            </w:pPr>
          </w:p>
        </w:tc>
        <w:tc>
          <w:tcPr>
            <w:tcW w:w="4182" w:type="dxa"/>
            <w:vAlign w:val="center"/>
          </w:tcPr>
          <w:p>
            <w:pPr>
              <w:spacing w:line="32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lang w:eastAsia="zh-CN"/>
              </w:rPr>
              <w:t>④</w:t>
            </w:r>
            <w:r>
              <w:rPr>
                <w:rFonts w:hint="eastAsia" w:ascii="楷体_GB2312" w:hAnsi="楷体_GB2312" w:eastAsia="楷体_GB2312" w:cs="楷体_GB2312"/>
                <w:color w:val="auto"/>
                <w:szCs w:val="21"/>
              </w:rPr>
              <w:t>切实加强后备干部队伍建设</w:t>
            </w:r>
          </w:p>
        </w:tc>
        <w:tc>
          <w:tcPr>
            <w:tcW w:w="4708" w:type="dxa"/>
            <w:vAlign w:val="center"/>
          </w:tcPr>
          <w:p>
            <w:pPr>
              <w:spacing w:line="320" w:lineRule="exact"/>
              <w:jc w:val="center"/>
              <w:rPr>
                <w:rFonts w:hint="eastAsia" w:ascii="宋体" w:hAnsi="宋体" w:cs="宋体"/>
                <w:color w:val="auto"/>
                <w:szCs w:val="21"/>
              </w:rPr>
            </w:pPr>
          </w:p>
        </w:tc>
        <w:tc>
          <w:tcPr>
            <w:tcW w:w="1395" w:type="dxa"/>
            <w:vAlign w:val="center"/>
          </w:tcPr>
          <w:p>
            <w:pPr>
              <w:spacing w:line="320" w:lineRule="exact"/>
              <w:jc w:val="center"/>
              <w:rPr>
                <w:rFonts w:hint="eastAsia" w:ascii="宋体" w:hAnsi="宋体" w:cs="宋体"/>
                <w:color w:val="auto"/>
                <w:szCs w:val="21"/>
              </w:rPr>
            </w:pPr>
          </w:p>
        </w:tc>
        <w:tc>
          <w:tcPr>
            <w:tcW w:w="1110" w:type="dxa"/>
            <w:vAlign w:val="center"/>
          </w:tcPr>
          <w:p>
            <w:pPr>
              <w:spacing w:line="320" w:lineRule="exact"/>
              <w:jc w:val="center"/>
              <w:rPr>
                <w:rFonts w:hint="eastAsia" w:ascii="宋体" w:hAnsi="宋体" w:eastAsia="宋体" w:cs="宋体"/>
                <w:color w:val="auto"/>
                <w:szCs w:val="21"/>
                <w:lang w:eastAsia="zh-CN"/>
              </w:rPr>
            </w:pPr>
            <w:r>
              <w:rPr>
                <w:rFonts w:hint="eastAsia" w:ascii="宋体" w:hAnsi="宋体" w:cs="宋体"/>
                <w:color w:val="auto"/>
                <w:szCs w:val="21"/>
                <w:lang w:eastAsia="zh-CN"/>
              </w:rPr>
              <w:t>组织部</w:t>
            </w:r>
          </w:p>
        </w:tc>
        <w:tc>
          <w:tcPr>
            <w:tcW w:w="1122" w:type="dxa"/>
            <w:vAlign w:val="center"/>
          </w:tcPr>
          <w:p>
            <w:pPr>
              <w:spacing w:line="320" w:lineRule="exact"/>
              <w:jc w:val="center"/>
              <w:rPr>
                <w:rFonts w:hint="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1608" w:type="dxa"/>
            <w:vMerge w:val="continue"/>
            <w:vAlign w:val="center"/>
          </w:tcPr>
          <w:p>
            <w:pPr>
              <w:spacing w:line="320" w:lineRule="exact"/>
              <w:jc w:val="left"/>
              <w:rPr>
                <w:rFonts w:ascii="楷体_GB2312" w:hAnsi="楷体_GB2312" w:eastAsia="楷体_GB2312" w:cs="楷体_GB2312"/>
                <w:b/>
                <w:bCs/>
                <w:color w:val="auto"/>
                <w:szCs w:val="21"/>
              </w:rPr>
            </w:pPr>
          </w:p>
        </w:tc>
        <w:tc>
          <w:tcPr>
            <w:tcW w:w="4182" w:type="dxa"/>
            <w:vAlign w:val="center"/>
          </w:tcPr>
          <w:p>
            <w:pPr>
              <w:spacing w:line="320" w:lineRule="exact"/>
              <w:rPr>
                <w:rFonts w:ascii="楷体_GB2312" w:hAnsi="楷体_GB2312" w:eastAsia="楷体_GB2312" w:cs="楷体_GB2312"/>
                <w:color w:val="auto"/>
                <w:szCs w:val="21"/>
              </w:rPr>
            </w:pPr>
            <w:r>
              <w:rPr>
                <w:rFonts w:hint="eastAsia" w:ascii="楷体_GB2312" w:hAnsi="楷体_GB2312" w:eastAsia="楷体_GB2312" w:cs="楷体_GB2312"/>
                <w:color w:val="auto"/>
                <w:szCs w:val="21"/>
              </w:rPr>
              <w:t>⑤完善校内处级领导班子和处级干部综合考核工作，强化结果运用。</w:t>
            </w:r>
          </w:p>
        </w:tc>
        <w:tc>
          <w:tcPr>
            <w:tcW w:w="4708" w:type="dxa"/>
            <w:vAlign w:val="center"/>
          </w:tcPr>
          <w:p>
            <w:pPr>
              <w:spacing w:line="320" w:lineRule="exact"/>
              <w:jc w:val="center"/>
              <w:rPr>
                <w:rFonts w:hint="eastAsia" w:ascii="宋体" w:cs="宋体"/>
                <w:color w:val="auto"/>
                <w:szCs w:val="21"/>
                <w:lang w:eastAsia="zh-CN"/>
              </w:rPr>
            </w:pPr>
          </w:p>
        </w:tc>
        <w:tc>
          <w:tcPr>
            <w:tcW w:w="1395" w:type="dxa"/>
            <w:vAlign w:val="center"/>
          </w:tcPr>
          <w:p>
            <w:pPr>
              <w:spacing w:line="320" w:lineRule="exact"/>
              <w:jc w:val="center"/>
              <w:rPr>
                <w:rFonts w:hint="eastAsia" w:ascii="宋体" w:cs="宋体"/>
                <w:color w:val="auto"/>
                <w:szCs w:val="21"/>
                <w:lang w:eastAsia="zh-CN"/>
              </w:rPr>
            </w:pPr>
          </w:p>
        </w:tc>
        <w:tc>
          <w:tcPr>
            <w:tcW w:w="1110" w:type="dxa"/>
            <w:vAlign w:val="center"/>
          </w:tcPr>
          <w:p>
            <w:pPr>
              <w:spacing w:line="320" w:lineRule="exact"/>
              <w:jc w:val="center"/>
              <w:rPr>
                <w:color w:val="auto"/>
                <w:sz w:val="18"/>
                <w:szCs w:val="18"/>
              </w:rPr>
            </w:pPr>
            <w:r>
              <w:rPr>
                <w:rFonts w:hint="eastAsia"/>
                <w:color w:val="auto"/>
                <w:sz w:val="18"/>
                <w:szCs w:val="18"/>
              </w:rPr>
              <w:t>组织部</w:t>
            </w:r>
            <w:r>
              <w:rPr>
                <w:rFonts w:hint="eastAsia"/>
                <w:color w:val="auto"/>
                <w:sz w:val="18"/>
                <w:szCs w:val="18"/>
              </w:rPr>
              <w:br w:type="textWrapping"/>
            </w:r>
            <w:r>
              <w:rPr>
                <w:rFonts w:hint="eastAsia"/>
                <w:color w:val="auto"/>
                <w:sz w:val="18"/>
                <w:szCs w:val="18"/>
                <w:lang w:eastAsia="zh-CN"/>
              </w:rPr>
              <w:t>人事处</w:t>
            </w:r>
          </w:p>
        </w:tc>
        <w:tc>
          <w:tcPr>
            <w:tcW w:w="1122" w:type="dxa"/>
            <w:vAlign w:val="center"/>
          </w:tcPr>
          <w:p>
            <w:pPr>
              <w:spacing w:line="320" w:lineRule="exact"/>
              <w:jc w:val="center"/>
              <w:rPr>
                <w:color w:val="auto"/>
                <w:sz w:val="18"/>
                <w:szCs w:val="18"/>
              </w:rPr>
            </w:pPr>
            <w:r>
              <w:rPr>
                <w:rFonts w:hint="eastAsia"/>
                <w:color w:val="auto"/>
                <w:sz w:val="18"/>
                <w:szCs w:val="18"/>
              </w:rPr>
              <w:t>各</w:t>
            </w:r>
            <w:r>
              <w:rPr>
                <w:rFonts w:hint="eastAsia"/>
                <w:color w:val="auto"/>
                <w:sz w:val="18"/>
                <w:szCs w:val="18"/>
                <w:lang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jc w:val="center"/>
        </w:trPr>
        <w:tc>
          <w:tcPr>
            <w:tcW w:w="1608" w:type="dxa"/>
            <w:vAlign w:val="center"/>
          </w:tcPr>
          <w:p>
            <w:pPr>
              <w:spacing w:line="320" w:lineRule="exact"/>
              <w:jc w:val="left"/>
              <w:rPr>
                <w:rFonts w:ascii="楷体_GB2312" w:hAnsi="楷体_GB2312" w:eastAsia="楷体_GB2312" w:cs="楷体_GB2312"/>
                <w:b/>
                <w:bCs/>
                <w:color w:val="auto"/>
                <w:szCs w:val="21"/>
              </w:rPr>
            </w:pPr>
            <w:r>
              <w:rPr>
                <w:rFonts w:ascii="楷体_GB2312" w:hAnsi="楷体_GB2312" w:eastAsia="楷体_GB2312" w:cs="楷体_GB2312"/>
                <w:b/>
                <w:bCs/>
                <w:color w:val="auto"/>
                <w:szCs w:val="21"/>
              </w:rPr>
              <w:t>5.</w:t>
            </w:r>
            <w:r>
              <w:rPr>
                <w:rFonts w:hint="eastAsia" w:ascii="楷体_GB2312" w:hAnsi="楷体_GB2312" w:eastAsia="楷体_GB2312" w:cs="楷体_GB2312"/>
                <w:b/>
                <w:bCs/>
                <w:color w:val="auto"/>
                <w:szCs w:val="21"/>
              </w:rPr>
              <w:t>推动全面从严治党向纵深发展。</w:t>
            </w:r>
          </w:p>
        </w:tc>
        <w:tc>
          <w:tcPr>
            <w:tcW w:w="4182" w:type="dxa"/>
            <w:vAlign w:val="center"/>
          </w:tcPr>
          <w:p>
            <w:pPr>
              <w:spacing w:line="320" w:lineRule="exact"/>
              <w:rPr>
                <w:rFonts w:ascii="楷体_GB2312" w:hAnsi="楷体_GB2312" w:eastAsia="楷体_GB2312" w:cs="楷体_GB2312"/>
                <w:color w:val="auto"/>
                <w:szCs w:val="21"/>
              </w:rPr>
            </w:pPr>
            <w:r>
              <w:rPr>
                <w:rFonts w:hint="eastAsia" w:ascii="楷体_GB2312" w:hAnsi="楷体_GB2312" w:eastAsia="楷体_GB2312" w:cs="楷体_GB2312"/>
                <w:color w:val="auto"/>
                <w:szCs w:val="21"/>
              </w:rPr>
              <w:t>①全面落实党委主体责任和纪委监督责任，落实“一岗双责”要求，加强重点领域和关键环节的监督</w:t>
            </w:r>
            <w:r>
              <w:rPr>
                <w:rFonts w:hint="eastAsia" w:ascii="楷体_GB2312" w:hAnsi="楷体_GB2312" w:eastAsia="楷体_GB2312" w:cs="楷体_GB2312"/>
                <w:color w:val="auto"/>
                <w:szCs w:val="21"/>
                <w:lang w:eastAsia="zh-CN"/>
              </w:rPr>
              <w:t>检查</w:t>
            </w:r>
            <w:r>
              <w:rPr>
                <w:rFonts w:hint="eastAsia" w:ascii="楷体_GB2312" w:hAnsi="楷体_GB2312" w:eastAsia="楷体_GB2312" w:cs="楷体_GB2312"/>
                <w:color w:val="auto"/>
                <w:szCs w:val="21"/>
              </w:rPr>
              <w:t>，完善惩治预防腐败体系建设。</w:t>
            </w:r>
          </w:p>
          <w:p>
            <w:pPr>
              <w:spacing w:line="320" w:lineRule="exact"/>
              <w:rPr>
                <w:rFonts w:ascii="楷体_GB2312" w:hAnsi="楷体_GB2312" w:eastAsia="楷体_GB2312" w:cs="楷体_GB2312"/>
                <w:color w:val="auto"/>
                <w:szCs w:val="21"/>
              </w:rPr>
            </w:pPr>
            <w:r>
              <w:rPr>
                <w:rFonts w:hint="eastAsia" w:ascii="楷体_GB2312" w:hAnsi="楷体_GB2312" w:eastAsia="楷体_GB2312" w:cs="楷体_GB2312"/>
                <w:color w:val="auto"/>
                <w:szCs w:val="21"/>
              </w:rPr>
              <w:t>②贯彻执行中央八项规定实施细则和省委“三十条”精神，持之以恒正风肃纪，驰而不息抓好作风建设。</w:t>
            </w:r>
          </w:p>
          <w:p>
            <w:pPr>
              <w:spacing w:line="320" w:lineRule="exact"/>
              <w:rPr>
                <w:rFonts w:ascii="楷体_GB2312" w:hAnsi="楷体_GB2312" w:eastAsia="楷体_GB2312" w:cs="楷体_GB2312"/>
                <w:color w:val="auto"/>
                <w:szCs w:val="21"/>
              </w:rPr>
            </w:pPr>
            <w:r>
              <w:rPr>
                <w:rFonts w:hint="eastAsia" w:ascii="楷体_GB2312" w:hAnsi="楷体_GB2312" w:eastAsia="楷体_GB2312" w:cs="楷体_GB2312"/>
                <w:color w:val="auto"/>
                <w:szCs w:val="21"/>
              </w:rPr>
              <w:t>③强化纪检监察干部队伍建设，提高监督执纪问责水平。</w:t>
            </w:r>
          </w:p>
          <w:p>
            <w:pPr>
              <w:spacing w:line="320" w:lineRule="exact"/>
              <w:rPr>
                <w:rFonts w:ascii="楷体_GB2312" w:hAnsi="楷体_GB2312" w:eastAsia="楷体_GB2312" w:cs="楷体_GB2312"/>
                <w:color w:val="auto"/>
                <w:szCs w:val="21"/>
              </w:rPr>
            </w:pPr>
            <w:r>
              <w:rPr>
                <w:rFonts w:hint="eastAsia" w:ascii="楷体_GB2312" w:hAnsi="楷体_GB2312" w:eastAsia="楷体_GB2312" w:cs="楷体_GB2312"/>
                <w:color w:val="auto"/>
                <w:szCs w:val="21"/>
              </w:rPr>
              <w:t>④加强廉政文化宣传教育，提高党员干部拒腐防变和抵御风险能力。</w:t>
            </w:r>
          </w:p>
        </w:tc>
        <w:tc>
          <w:tcPr>
            <w:tcW w:w="4708" w:type="dxa"/>
            <w:vAlign w:val="center"/>
          </w:tcPr>
          <w:p>
            <w:pPr>
              <w:spacing w:line="320" w:lineRule="exact"/>
              <w:jc w:val="center"/>
              <w:rPr>
                <w:rFonts w:ascii="宋体" w:cs="宋体"/>
                <w:color w:val="auto"/>
                <w:szCs w:val="21"/>
              </w:rPr>
            </w:pPr>
          </w:p>
        </w:tc>
        <w:tc>
          <w:tcPr>
            <w:tcW w:w="1395" w:type="dxa"/>
            <w:vAlign w:val="center"/>
          </w:tcPr>
          <w:p>
            <w:pPr>
              <w:spacing w:line="320" w:lineRule="exact"/>
              <w:jc w:val="center"/>
              <w:rPr>
                <w:rFonts w:ascii="宋体" w:cs="宋体"/>
                <w:color w:val="auto"/>
                <w:szCs w:val="21"/>
              </w:rPr>
            </w:pPr>
          </w:p>
        </w:tc>
        <w:tc>
          <w:tcPr>
            <w:tcW w:w="1110" w:type="dxa"/>
            <w:vAlign w:val="center"/>
          </w:tcPr>
          <w:p>
            <w:pPr>
              <w:spacing w:line="320" w:lineRule="exact"/>
              <w:jc w:val="center"/>
              <w:rPr>
                <w:rFonts w:hint="eastAsia"/>
                <w:color w:val="auto"/>
                <w:sz w:val="18"/>
                <w:szCs w:val="18"/>
              </w:rPr>
            </w:pPr>
            <w:r>
              <w:rPr>
                <w:rFonts w:hint="eastAsia"/>
                <w:color w:val="auto"/>
                <w:sz w:val="18"/>
                <w:szCs w:val="18"/>
              </w:rPr>
              <w:t>纪委</w:t>
            </w:r>
            <w:r>
              <w:rPr>
                <w:rFonts w:hint="eastAsia"/>
                <w:color w:val="auto"/>
                <w:sz w:val="18"/>
                <w:szCs w:val="18"/>
                <w:lang w:eastAsia="zh-CN"/>
              </w:rPr>
              <w:t>办</w:t>
            </w:r>
            <w:r>
              <w:rPr>
                <w:rFonts w:hint="eastAsia"/>
                <w:color w:val="auto"/>
                <w:sz w:val="18"/>
                <w:szCs w:val="18"/>
              </w:rPr>
              <w:t>（监察处）</w:t>
            </w:r>
          </w:p>
          <w:p>
            <w:pPr>
              <w:spacing w:line="320" w:lineRule="exact"/>
              <w:jc w:val="center"/>
              <w:rPr>
                <w:rFonts w:hint="eastAsia" w:eastAsia="宋体"/>
                <w:color w:val="auto"/>
                <w:sz w:val="18"/>
                <w:szCs w:val="18"/>
                <w:lang w:eastAsia="zh-CN"/>
              </w:rPr>
            </w:pPr>
            <w:r>
              <w:rPr>
                <w:rFonts w:hint="eastAsia"/>
                <w:color w:val="auto"/>
                <w:sz w:val="18"/>
                <w:szCs w:val="18"/>
                <w:lang w:eastAsia="zh-CN"/>
              </w:rPr>
              <w:t>办公室</w:t>
            </w:r>
          </w:p>
        </w:tc>
        <w:tc>
          <w:tcPr>
            <w:tcW w:w="1122" w:type="dxa"/>
            <w:vAlign w:val="center"/>
          </w:tcPr>
          <w:p>
            <w:pPr>
              <w:spacing w:line="320" w:lineRule="exact"/>
              <w:jc w:val="center"/>
              <w:rPr>
                <w:color w:val="auto"/>
                <w:sz w:val="18"/>
                <w:szCs w:val="18"/>
              </w:rPr>
            </w:pPr>
            <w:r>
              <w:rPr>
                <w:rFonts w:hint="eastAsia"/>
                <w:color w:val="auto"/>
                <w:sz w:val="18"/>
                <w:szCs w:val="18"/>
              </w:rPr>
              <w:t>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07" w:hRule="atLeast"/>
          <w:jc w:val="center"/>
        </w:trPr>
        <w:tc>
          <w:tcPr>
            <w:tcW w:w="1608" w:type="dxa"/>
            <w:vMerge w:val="restart"/>
            <w:vAlign w:val="center"/>
          </w:tcPr>
          <w:p>
            <w:pPr>
              <w:spacing w:line="320" w:lineRule="exact"/>
              <w:jc w:val="left"/>
              <w:rPr>
                <w:rFonts w:ascii="楷体_GB2312" w:hAnsi="楷体_GB2312" w:eastAsia="楷体_GB2312" w:cs="楷体_GB2312"/>
                <w:b/>
                <w:bCs/>
                <w:color w:val="auto"/>
                <w:szCs w:val="21"/>
              </w:rPr>
            </w:pPr>
          </w:p>
          <w:p>
            <w:pPr>
              <w:spacing w:line="320" w:lineRule="exact"/>
              <w:jc w:val="left"/>
              <w:rPr>
                <w:rFonts w:ascii="楷体_GB2312" w:hAnsi="楷体_GB2312" w:eastAsia="楷体_GB2312" w:cs="楷体_GB2312"/>
                <w:b/>
                <w:bCs/>
                <w:color w:val="auto"/>
                <w:szCs w:val="21"/>
              </w:rPr>
            </w:pPr>
            <w:r>
              <w:rPr>
                <w:rFonts w:ascii="楷体_GB2312" w:hAnsi="楷体_GB2312" w:eastAsia="楷体_GB2312" w:cs="楷体_GB2312"/>
                <w:b/>
                <w:bCs/>
                <w:color w:val="auto"/>
                <w:szCs w:val="21"/>
              </w:rPr>
              <w:t>6.</w:t>
            </w:r>
            <w:r>
              <w:rPr>
                <w:rFonts w:hint="eastAsia" w:ascii="楷体_GB2312" w:hAnsi="楷体_GB2312" w:eastAsia="楷体_GB2312" w:cs="楷体_GB2312"/>
                <w:b/>
                <w:bCs/>
                <w:color w:val="auto"/>
                <w:szCs w:val="21"/>
              </w:rPr>
              <w:t>抓好和谐校园建设工作。</w:t>
            </w:r>
          </w:p>
          <w:p>
            <w:pPr>
              <w:spacing w:line="320" w:lineRule="exact"/>
              <w:jc w:val="left"/>
              <w:rPr>
                <w:rFonts w:ascii="楷体_GB2312" w:hAnsi="楷体_GB2312" w:eastAsia="楷体_GB2312" w:cs="楷体_GB2312"/>
                <w:b/>
                <w:bCs/>
                <w:color w:val="auto"/>
                <w:szCs w:val="21"/>
              </w:rPr>
            </w:pPr>
          </w:p>
        </w:tc>
        <w:tc>
          <w:tcPr>
            <w:tcW w:w="4182" w:type="dxa"/>
            <w:vAlign w:val="center"/>
          </w:tcPr>
          <w:p>
            <w:pPr>
              <w:spacing w:line="320" w:lineRule="exact"/>
              <w:rPr>
                <w:rFonts w:ascii="楷体_GB2312" w:hAnsi="楷体_GB2312" w:eastAsia="楷体_GB2312" w:cs="楷体_GB2312"/>
                <w:color w:val="auto"/>
                <w:szCs w:val="21"/>
              </w:rPr>
            </w:pPr>
            <w:r>
              <w:rPr>
                <w:rFonts w:hint="eastAsia" w:ascii="楷体_GB2312" w:hAnsi="楷体_GB2312" w:eastAsia="楷体_GB2312" w:cs="楷体_GB2312"/>
                <w:color w:val="auto"/>
                <w:szCs w:val="21"/>
              </w:rPr>
              <w:t>①扎实推进平安校园建设，落实各级安全责任，加强安全宣传教育，加大隐患排查整治，强化人防、物防、技防建设，加强校园及周边环境综合治理。</w:t>
            </w:r>
          </w:p>
        </w:tc>
        <w:tc>
          <w:tcPr>
            <w:tcW w:w="4708" w:type="dxa"/>
            <w:vMerge w:val="restart"/>
            <w:vAlign w:val="center"/>
          </w:tcPr>
          <w:p>
            <w:pPr>
              <w:spacing w:line="320" w:lineRule="exact"/>
              <w:jc w:val="center"/>
              <w:rPr>
                <w:rFonts w:ascii="宋体" w:cs="宋体"/>
                <w:color w:val="auto"/>
                <w:szCs w:val="21"/>
              </w:rPr>
            </w:pPr>
          </w:p>
        </w:tc>
        <w:tc>
          <w:tcPr>
            <w:tcW w:w="1395" w:type="dxa"/>
            <w:vAlign w:val="center"/>
          </w:tcPr>
          <w:p>
            <w:pPr>
              <w:spacing w:line="320" w:lineRule="exact"/>
              <w:jc w:val="center"/>
              <w:rPr>
                <w:rFonts w:ascii="宋体" w:cs="宋体"/>
                <w:color w:val="auto"/>
                <w:szCs w:val="21"/>
              </w:rPr>
            </w:pPr>
          </w:p>
        </w:tc>
        <w:tc>
          <w:tcPr>
            <w:tcW w:w="1110" w:type="dxa"/>
            <w:vAlign w:val="center"/>
          </w:tcPr>
          <w:p>
            <w:pPr>
              <w:spacing w:line="320" w:lineRule="exact"/>
              <w:jc w:val="center"/>
              <w:rPr>
                <w:color w:val="auto"/>
                <w:sz w:val="18"/>
                <w:szCs w:val="18"/>
              </w:rPr>
            </w:pPr>
            <w:r>
              <w:rPr>
                <w:rFonts w:hint="eastAsia"/>
                <w:color w:val="auto"/>
                <w:sz w:val="18"/>
                <w:szCs w:val="18"/>
              </w:rPr>
              <w:t>保卫处</w:t>
            </w:r>
          </w:p>
        </w:tc>
        <w:tc>
          <w:tcPr>
            <w:tcW w:w="1122" w:type="dxa"/>
            <w:vAlign w:val="center"/>
          </w:tcPr>
          <w:p>
            <w:pPr>
              <w:spacing w:line="320" w:lineRule="exact"/>
              <w:jc w:val="center"/>
              <w:rPr>
                <w:color w:val="auto"/>
                <w:sz w:val="18"/>
                <w:szCs w:val="18"/>
              </w:rPr>
            </w:pPr>
            <w:r>
              <w:rPr>
                <w:rFonts w:hint="eastAsia"/>
                <w:color w:val="auto"/>
                <w:sz w:val="18"/>
                <w:szCs w:val="18"/>
              </w:rPr>
              <w:t>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jc w:val="center"/>
        </w:trPr>
        <w:tc>
          <w:tcPr>
            <w:tcW w:w="1608" w:type="dxa"/>
            <w:vMerge w:val="continue"/>
            <w:vAlign w:val="center"/>
          </w:tcPr>
          <w:p>
            <w:pPr>
              <w:spacing w:line="320" w:lineRule="exact"/>
              <w:jc w:val="left"/>
              <w:rPr>
                <w:rFonts w:ascii="楷体_GB2312" w:hAnsi="楷体_GB2312" w:eastAsia="楷体_GB2312" w:cs="楷体_GB2312"/>
                <w:b/>
                <w:bCs/>
                <w:color w:val="auto"/>
                <w:szCs w:val="21"/>
              </w:rPr>
            </w:pPr>
          </w:p>
        </w:tc>
        <w:tc>
          <w:tcPr>
            <w:tcW w:w="4182" w:type="dxa"/>
            <w:vAlign w:val="center"/>
          </w:tcPr>
          <w:p>
            <w:pPr>
              <w:spacing w:line="320" w:lineRule="exact"/>
              <w:rPr>
                <w:rFonts w:ascii="楷体_GB2312" w:hAnsi="楷体_GB2312" w:eastAsia="楷体_GB2312" w:cs="楷体_GB2312"/>
                <w:color w:val="auto"/>
                <w:szCs w:val="21"/>
              </w:rPr>
            </w:pPr>
            <w:r>
              <w:rPr>
                <w:rFonts w:hint="eastAsia" w:ascii="楷体_GB2312" w:hAnsi="楷体_GB2312" w:eastAsia="楷体_GB2312" w:cs="楷体_GB2312"/>
                <w:color w:val="auto"/>
                <w:szCs w:val="21"/>
              </w:rPr>
              <w:t>②切实关注家庭经济困难、就业困难等学生群体，落实好资助政策，开展智慧资助。</w:t>
            </w:r>
          </w:p>
        </w:tc>
        <w:tc>
          <w:tcPr>
            <w:tcW w:w="4708" w:type="dxa"/>
            <w:vMerge w:val="continue"/>
            <w:vAlign w:val="center"/>
          </w:tcPr>
          <w:p>
            <w:pPr>
              <w:spacing w:line="320" w:lineRule="exact"/>
              <w:jc w:val="center"/>
              <w:rPr>
                <w:rFonts w:ascii="宋体" w:cs="宋体"/>
                <w:color w:val="auto"/>
                <w:szCs w:val="21"/>
              </w:rPr>
            </w:pPr>
          </w:p>
        </w:tc>
        <w:tc>
          <w:tcPr>
            <w:tcW w:w="1395" w:type="dxa"/>
            <w:vAlign w:val="center"/>
          </w:tcPr>
          <w:p>
            <w:pPr>
              <w:spacing w:line="320" w:lineRule="exact"/>
              <w:jc w:val="center"/>
              <w:rPr>
                <w:rFonts w:ascii="宋体" w:cs="宋体"/>
                <w:color w:val="auto"/>
                <w:szCs w:val="21"/>
              </w:rPr>
            </w:pPr>
          </w:p>
        </w:tc>
        <w:tc>
          <w:tcPr>
            <w:tcW w:w="1110" w:type="dxa"/>
            <w:vAlign w:val="center"/>
          </w:tcPr>
          <w:p>
            <w:pPr>
              <w:spacing w:line="320" w:lineRule="exact"/>
              <w:jc w:val="center"/>
              <w:rPr>
                <w:color w:val="auto"/>
                <w:sz w:val="18"/>
                <w:szCs w:val="18"/>
              </w:rPr>
            </w:pPr>
            <w:r>
              <w:rPr>
                <w:rFonts w:hint="eastAsia"/>
                <w:color w:val="auto"/>
                <w:sz w:val="18"/>
                <w:szCs w:val="18"/>
              </w:rPr>
              <w:t>学工部（学生处）</w:t>
            </w:r>
          </w:p>
        </w:tc>
        <w:tc>
          <w:tcPr>
            <w:tcW w:w="1122" w:type="dxa"/>
            <w:vAlign w:val="center"/>
          </w:tcPr>
          <w:p>
            <w:pPr>
              <w:spacing w:line="320" w:lineRule="exact"/>
              <w:jc w:val="center"/>
              <w:rPr>
                <w:color w:val="auto"/>
                <w:sz w:val="18"/>
                <w:szCs w:val="18"/>
              </w:rPr>
            </w:pPr>
            <w:r>
              <w:rPr>
                <w:rFonts w:hint="eastAsia"/>
                <w:color w:val="auto"/>
                <w:sz w:val="18"/>
                <w:szCs w:val="18"/>
              </w:rPr>
              <w:t>招就处、各二级学院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jc w:val="center"/>
        </w:trPr>
        <w:tc>
          <w:tcPr>
            <w:tcW w:w="1608" w:type="dxa"/>
            <w:vMerge w:val="continue"/>
            <w:vAlign w:val="center"/>
          </w:tcPr>
          <w:p>
            <w:pPr>
              <w:spacing w:line="320" w:lineRule="exact"/>
              <w:jc w:val="left"/>
              <w:rPr>
                <w:rFonts w:ascii="楷体_GB2312" w:hAnsi="楷体_GB2312" w:eastAsia="楷体_GB2312" w:cs="楷体_GB2312"/>
                <w:b/>
                <w:bCs/>
                <w:color w:val="auto"/>
                <w:szCs w:val="21"/>
              </w:rPr>
            </w:pPr>
          </w:p>
        </w:tc>
        <w:tc>
          <w:tcPr>
            <w:tcW w:w="4182" w:type="dxa"/>
            <w:vAlign w:val="center"/>
          </w:tcPr>
          <w:p>
            <w:pPr>
              <w:spacing w:line="320" w:lineRule="exact"/>
              <w:rPr>
                <w:rFonts w:ascii="楷体_GB2312" w:hAnsi="楷体_GB2312" w:eastAsia="楷体_GB2312" w:cs="楷体_GB2312"/>
                <w:color w:val="auto"/>
                <w:szCs w:val="21"/>
              </w:rPr>
            </w:pPr>
            <w:r>
              <w:rPr>
                <w:rFonts w:hint="eastAsia" w:ascii="楷体_GB2312" w:hAnsi="楷体_GB2312" w:eastAsia="楷体_GB2312" w:cs="楷体_GB2312"/>
                <w:color w:val="auto"/>
                <w:szCs w:val="21"/>
              </w:rPr>
              <w:t>②关注教职工的利益诉求，积极回应师生关切，切实维护校园和谐稳定。</w:t>
            </w:r>
          </w:p>
        </w:tc>
        <w:tc>
          <w:tcPr>
            <w:tcW w:w="4708" w:type="dxa"/>
            <w:vAlign w:val="center"/>
          </w:tcPr>
          <w:p>
            <w:pPr>
              <w:spacing w:line="320" w:lineRule="exact"/>
              <w:jc w:val="center"/>
              <w:rPr>
                <w:rFonts w:ascii="宋体" w:cs="宋体"/>
                <w:color w:val="auto"/>
                <w:szCs w:val="21"/>
              </w:rPr>
            </w:pPr>
          </w:p>
        </w:tc>
        <w:tc>
          <w:tcPr>
            <w:tcW w:w="1395" w:type="dxa"/>
            <w:vAlign w:val="center"/>
          </w:tcPr>
          <w:p>
            <w:pPr>
              <w:spacing w:line="320" w:lineRule="exact"/>
              <w:jc w:val="center"/>
              <w:rPr>
                <w:rFonts w:ascii="宋体" w:cs="宋体"/>
                <w:color w:val="auto"/>
                <w:szCs w:val="21"/>
              </w:rPr>
            </w:pPr>
          </w:p>
        </w:tc>
        <w:tc>
          <w:tcPr>
            <w:tcW w:w="1110" w:type="dxa"/>
            <w:vAlign w:val="center"/>
          </w:tcPr>
          <w:p>
            <w:pPr>
              <w:spacing w:line="320" w:lineRule="exact"/>
              <w:jc w:val="center"/>
              <w:rPr>
                <w:color w:val="auto"/>
                <w:sz w:val="18"/>
                <w:szCs w:val="18"/>
              </w:rPr>
            </w:pPr>
            <w:r>
              <w:rPr>
                <w:rFonts w:hint="eastAsia"/>
                <w:color w:val="auto"/>
                <w:sz w:val="18"/>
                <w:szCs w:val="18"/>
              </w:rPr>
              <w:t>工</w:t>
            </w:r>
            <w:r>
              <w:rPr>
                <w:color w:val="auto"/>
                <w:sz w:val="18"/>
                <w:szCs w:val="18"/>
              </w:rPr>
              <w:t xml:space="preserve">  </w:t>
            </w:r>
            <w:r>
              <w:rPr>
                <w:rFonts w:hint="eastAsia"/>
                <w:color w:val="auto"/>
                <w:sz w:val="18"/>
                <w:szCs w:val="18"/>
              </w:rPr>
              <w:t>会</w:t>
            </w:r>
          </w:p>
        </w:tc>
        <w:tc>
          <w:tcPr>
            <w:tcW w:w="1122" w:type="dxa"/>
            <w:vAlign w:val="center"/>
          </w:tcPr>
          <w:p>
            <w:pPr>
              <w:spacing w:line="320" w:lineRule="exact"/>
              <w:jc w:val="center"/>
              <w:rPr>
                <w:color w:val="auto"/>
                <w:sz w:val="18"/>
                <w:szCs w:val="18"/>
              </w:rPr>
            </w:pPr>
            <w:r>
              <w:rPr>
                <w:rFonts w:hint="eastAsia"/>
                <w:color w:val="auto"/>
                <w:sz w:val="18"/>
                <w:szCs w:val="18"/>
              </w:rPr>
              <w:t>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0" w:hRule="atLeast"/>
          <w:jc w:val="center"/>
        </w:trPr>
        <w:tc>
          <w:tcPr>
            <w:tcW w:w="1608" w:type="dxa"/>
            <w:vMerge w:val="continue"/>
            <w:vAlign w:val="center"/>
          </w:tcPr>
          <w:p>
            <w:pPr>
              <w:spacing w:line="320" w:lineRule="exact"/>
              <w:jc w:val="left"/>
              <w:rPr>
                <w:rFonts w:ascii="楷体_GB2312" w:hAnsi="楷体_GB2312" w:eastAsia="楷体_GB2312" w:cs="楷体_GB2312"/>
                <w:b/>
                <w:bCs/>
                <w:color w:val="auto"/>
                <w:szCs w:val="21"/>
              </w:rPr>
            </w:pPr>
          </w:p>
        </w:tc>
        <w:tc>
          <w:tcPr>
            <w:tcW w:w="4182" w:type="dxa"/>
            <w:vAlign w:val="center"/>
          </w:tcPr>
          <w:p>
            <w:pPr>
              <w:spacing w:line="320" w:lineRule="exact"/>
              <w:rPr>
                <w:rFonts w:ascii="楷体_GB2312" w:hAnsi="楷体_GB2312" w:eastAsia="楷体_GB2312" w:cs="楷体_GB2312"/>
                <w:color w:val="auto"/>
                <w:szCs w:val="21"/>
              </w:rPr>
            </w:pPr>
            <w:r>
              <w:rPr>
                <w:rFonts w:hint="eastAsia" w:ascii="楷体_GB2312" w:hAnsi="楷体_GB2312" w:eastAsia="楷体_GB2312" w:cs="楷体_GB2312"/>
                <w:color w:val="auto"/>
                <w:szCs w:val="21"/>
              </w:rPr>
              <w:t>③做好征兵和双拥共建工作。</w:t>
            </w:r>
          </w:p>
        </w:tc>
        <w:tc>
          <w:tcPr>
            <w:tcW w:w="4708" w:type="dxa"/>
            <w:vAlign w:val="center"/>
          </w:tcPr>
          <w:p>
            <w:pPr>
              <w:spacing w:line="320" w:lineRule="exact"/>
              <w:jc w:val="center"/>
              <w:rPr>
                <w:rFonts w:ascii="宋体" w:cs="宋体"/>
                <w:color w:val="auto"/>
                <w:szCs w:val="21"/>
              </w:rPr>
            </w:pPr>
          </w:p>
        </w:tc>
        <w:tc>
          <w:tcPr>
            <w:tcW w:w="1395" w:type="dxa"/>
            <w:vAlign w:val="center"/>
          </w:tcPr>
          <w:p>
            <w:pPr>
              <w:spacing w:line="320" w:lineRule="exact"/>
              <w:jc w:val="center"/>
              <w:rPr>
                <w:rFonts w:ascii="宋体" w:cs="宋体"/>
                <w:color w:val="auto"/>
                <w:szCs w:val="21"/>
              </w:rPr>
            </w:pPr>
          </w:p>
        </w:tc>
        <w:tc>
          <w:tcPr>
            <w:tcW w:w="1110" w:type="dxa"/>
            <w:vAlign w:val="center"/>
          </w:tcPr>
          <w:p>
            <w:pPr>
              <w:spacing w:line="320" w:lineRule="exact"/>
              <w:jc w:val="center"/>
              <w:rPr>
                <w:color w:val="auto"/>
                <w:sz w:val="18"/>
                <w:szCs w:val="18"/>
              </w:rPr>
            </w:pPr>
            <w:r>
              <w:rPr>
                <w:rFonts w:hint="eastAsia"/>
                <w:color w:val="auto"/>
                <w:sz w:val="18"/>
                <w:szCs w:val="18"/>
              </w:rPr>
              <w:t>保卫处（武装部）</w:t>
            </w:r>
          </w:p>
        </w:tc>
        <w:tc>
          <w:tcPr>
            <w:tcW w:w="1122" w:type="dxa"/>
            <w:vAlign w:val="center"/>
          </w:tcPr>
          <w:p>
            <w:pPr>
              <w:spacing w:line="320" w:lineRule="exact"/>
              <w:jc w:val="center"/>
              <w:rPr>
                <w:color w:val="auto"/>
                <w:sz w:val="18"/>
                <w:szCs w:val="18"/>
              </w:rPr>
            </w:pPr>
            <w:r>
              <w:rPr>
                <w:rFonts w:hint="eastAsia"/>
                <w:color w:val="auto"/>
                <w:sz w:val="18"/>
                <w:szCs w:val="18"/>
              </w:rPr>
              <w:t>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608" w:type="dxa"/>
            <w:vMerge w:val="restart"/>
            <w:vAlign w:val="center"/>
          </w:tcPr>
          <w:p>
            <w:pPr>
              <w:spacing w:line="320" w:lineRule="exact"/>
              <w:jc w:val="left"/>
              <w:rPr>
                <w:rFonts w:ascii="楷体_GB2312" w:hAnsi="楷体_GB2312" w:eastAsia="楷体_GB2312" w:cs="楷体_GB2312"/>
                <w:b/>
                <w:bCs/>
                <w:color w:val="auto"/>
                <w:szCs w:val="21"/>
              </w:rPr>
            </w:pPr>
            <w:r>
              <w:rPr>
                <w:rFonts w:ascii="楷体_GB2312" w:hAnsi="楷体_GB2312" w:eastAsia="楷体_GB2312" w:cs="楷体_GB2312"/>
                <w:b/>
                <w:bCs/>
                <w:color w:val="auto"/>
                <w:szCs w:val="21"/>
              </w:rPr>
              <w:t>7.</w:t>
            </w:r>
            <w:r>
              <w:rPr>
                <w:rFonts w:hint="eastAsia" w:ascii="楷体_GB2312" w:hAnsi="楷体_GB2312" w:eastAsia="楷体_GB2312" w:cs="楷体_GB2312"/>
                <w:b/>
                <w:bCs/>
                <w:color w:val="auto"/>
                <w:szCs w:val="21"/>
              </w:rPr>
              <w:t>持续抓好群团和老干部等工作</w:t>
            </w:r>
            <w:r>
              <w:rPr>
                <w:rStyle w:val="6"/>
                <w:rFonts w:hint="eastAsia" w:ascii="楷体_GB2312" w:hAnsi="楷体_GB2312" w:eastAsia="楷体_GB2312" w:cs="楷体_GB2312"/>
                <w:color w:val="auto"/>
                <w:szCs w:val="21"/>
              </w:rPr>
              <w:t>。</w:t>
            </w:r>
          </w:p>
        </w:tc>
        <w:tc>
          <w:tcPr>
            <w:tcW w:w="4182" w:type="dxa"/>
            <w:vAlign w:val="center"/>
          </w:tcPr>
          <w:p>
            <w:pPr>
              <w:widowControl/>
              <w:spacing w:line="320" w:lineRule="exact"/>
              <w:rPr>
                <w:rFonts w:ascii="楷体_GB2312" w:hAnsi="楷体_GB2312" w:eastAsia="楷体_GB2312" w:cs="楷体_GB2312"/>
                <w:color w:val="auto"/>
                <w:szCs w:val="21"/>
              </w:rPr>
            </w:pPr>
            <w:r>
              <w:rPr>
                <w:rFonts w:hint="eastAsia" w:ascii="楷体_GB2312" w:hAnsi="楷体_GB2312" w:eastAsia="楷体_GB2312" w:cs="楷体_GB2312"/>
                <w:color w:val="auto"/>
                <w:szCs w:val="21"/>
              </w:rPr>
              <w:t>①开展送温暖、健康体检等活动，丰富教职工的业余文体生活。</w:t>
            </w:r>
          </w:p>
        </w:tc>
        <w:tc>
          <w:tcPr>
            <w:tcW w:w="4708" w:type="dxa"/>
            <w:vMerge w:val="restart"/>
            <w:vAlign w:val="center"/>
          </w:tcPr>
          <w:p>
            <w:pPr>
              <w:widowControl/>
              <w:spacing w:line="320" w:lineRule="exact"/>
              <w:jc w:val="center"/>
              <w:rPr>
                <w:rFonts w:ascii="宋体" w:cs="宋体"/>
                <w:color w:val="auto"/>
                <w:szCs w:val="21"/>
              </w:rPr>
            </w:pPr>
          </w:p>
        </w:tc>
        <w:tc>
          <w:tcPr>
            <w:tcW w:w="1395" w:type="dxa"/>
            <w:vAlign w:val="center"/>
          </w:tcPr>
          <w:p>
            <w:pPr>
              <w:widowControl/>
              <w:spacing w:line="320" w:lineRule="exact"/>
              <w:jc w:val="center"/>
              <w:rPr>
                <w:rFonts w:ascii="宋体" w:cs="宋体"/>
                <w:color w:val="auto"/>
                <w:szCs w:val="21"/>
              </w:rPr>
            </w:pPr>
          </w:p>
        </w:tc>
        <w:tc>
          <w:tcPr>
            <w:tcW w:w="1110" w:type="dxa"/>
            <w:vAlign w:val="center"/>
          </w:tcPr>
          <w:p>
            <w:pPr>
              <w:spacing w:line="320" w:lineRule="exact"/>
              <w:jc w:val="center"/>
              <w:rPr>
                <w:color w:val="auto"/>
                <w:sz w:val="18"/>
                <w:szCs w:val="18"/>
              </w:rPr>
            </w:pPr>
            <w:r>
              <w:rPr>
                <w:rFonts w:hint="eastAsia"/>
                <w:color w:val="auto"/>
                <w:sz w:val="18"/>
                <w:szCs w:val="18"/>
              </w:rPr>
              <w:t>工</w:t>
            </w:r>
            <w:r>
              <w:rPr>
                <w:color w:val="auto"/>
                <w:sz w:val="18"/>
                <w:szCs w:val="18"/>
              </w:rPr>
              <w:t xml:space="preserve">  </w:t>
            </w:r>
            <w:r>
              <w:rPr>
                <w:rFonts w:hint="eastAsia"/>
                <w:color w:val="auto"/>
                <w:sz w:val="18"/>
                <w:szCs w:val="18"/>
              </w:rPr>
              <w:t>会</w:t>
            </w:r>
          </w:p>
        </w:tc>
        <w:tc>
          <w:tcPr>
            <w:tcW w:w="1122" w:type="dxa"/>
            <w:vAlign w:val="center"/>
          </w:tcPr>
          <w:p>
            <w:pPr>
              <w:spacing w:line="320" w:lineRule="exact"/>
              <w:jc w:val="center"/>
              <w:rPr>
                <w:color w:val="auto"/>
                <w:sz w:val="18"/>
                <w:szCs w:val="18"/>
              </w:rPr>
            </w:pPr>
            <w:r>
              <w:rPr>
                <w:rFonts w:hint="eastAsia"/>
                <w:color w:val="auto"/>
                <w:sz w:val="18"/>
                <w:szCs w:val="18"/>
              </w:rPr>
              <w:t>各分工会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1608" w:type="dxa"/>
            <w:vMerge w:val="continue"/>
            <w:vAlign w:val="center"/>
          </w:tcPr>
          <w:p>
            <w:pPr>
              <w:spacing w:line="320" w:lineRule="exact"/>
              <w:jc w:val="left"/>
              <w:rPr>
                <w:rFonts w:ascii="楷体_GB2312" w:hAnsi="楷体_GB2312" w:eastAsia="楷体_GB2312" w:cs="楷体_GB2312"/>
                <w:b/>
                <w:bCs/>
                <w:color w:val="auto"/>
                <w:szCs w:val="21"/>
              </w:rPr>
            </w:pPr>
          </w:p>
        </w:tc>
        <w:tc>
          <w:tcPr>
            <w:tcW w:w="4182" w:type="dxa"/>
            <w:vAlign w:val="center"/>
          </w:tcPr>
          <w:p>
            <w:pPr>
              <w:widowControl/>
              <w:spacing w:line="320" w:lineRule="exact"/>
              <w:rPr>
                <w:rFonts w:ascii="楷体_GB2312" w:hAnsi="楷体_GB2312" w:eastAsia="楷体_GB2312" w:cs="楷体_GB2312"/>
                <w:color w:val="auto"/>
                <w:szCs w:val="21"/>
              </w:rPr>
            </w:pPr>
            <w:r>
              <w:rPr>
                <w:rFonts w:hint="eastAsia" w:ascii="楷体_GB2312" w:hAnsi="楷体_GB2312" w:eastAsia="楷体_GB2312" w:cs="楷体_GB2312"/>
                <w:color w:val="auto"/>
                <w:szCs w:val="21"/>
              </w:rPr>
              <w:t>②加强党委对统一战线工作的领导，发挥民主党派人士的作用。</w:t>
            </w:r>
          </w:p>
        </w:tc>
        <w:tc>
          <w:tcPr>
            <w:tcW w:w="4708" w:type="dxa"/>
            <w:vMerge w:val="continue"/>
            <w:vAlign w:val="center"/>
          </w:tcPr>
          <w:p>
            <w:pPr>
              <w:widowControl/>
              <w:spacing w:line="320" w:lineRule="exact"/>
              <w:jc w:val="center"/>
              <w:rPr>
                <w:rFonts w:ascii="宋体" w:cs="宋体"/>
                <w:color w:val="auto"/>
                <w:szCs w:val="21"/>
              </w:rPr>
            </w:pPr>
          </w:p>
        </w:tc>
        <w:tc>
          <w:tcPr>
            <w:tcW w:w="1395" w:type="dxa"/>
            <w:vAlign w:val="center"/>
          </w:tcPr>
          <w:p>
            <w:pPr>
              <w:widowControl/>
              <w:spacing w:line="320" w:lineRule="exact"/>
              <w:jc w:val="center"/>
              <w:rPr>
                <w:rFonts w:ascii="宋体" w:cs="宋体"/>
                <w:color w:val="auto"/>
                <w:szCs w:val="21"/>
              </w:rPr>
            </w:pPr>
          </w:p>
        </w:tc>
        <w:tc>
          <w:tcPr>
            <w:tcW w:w="1110" w:type="dxa"/>
            <w:vAlign w:val="center"/>
          </w:tcPr>
          <w:p>
            <w:pPr>
              <w:spacing w:line="320" w:lineRule="exact"/>
              <w:jc w:val="center"/>
              <w:rPr>
                <w:color w:val="auto"/>
                <w:sz w:val="18"/>
                <w:szCs w:val="18"/>
              </w:rPr>
            </w:pPr>
            <w:r>
              <w:rPr>
                <w:rFonts w:hint="eastAsia"/>
                <w:color w:val="auto"/>
                <w:sz w:val="18"/>
                <w:szCs w:val="18"/>
              </w:rPr>
              <w:t>宣传部（统战部）</w:t>
            </w:r>
          </w:p>
        </w:tc>
        <w:tc>
          <w:tcPr>
            <w:tcW w:w="1122" w:type="dxa"/>
            <w:vAlign w:val="center"/>
          </w:tcPr>
          <w:p>
            <w:pPr>
              <w:spacing w:line="320" w:lineRule="exact"/>
              <w:jc w:val="center"/>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47" w:hRule="atLeast"/>
          <w:jc w:val="center"/>
        </w:trPr>
        <w:tc>
          <w:tcPr>
            <w:tcW w:w="1608" w:type="dxa"/>
            <w:vMerge w:val="restart"/>
            <w:vAlign w:val="center"/>
          </w:tcPr>
          <w:p>
            <w:pPr>
              <w:spacing w:line="320" w:lineRule="exact"/>
              <w:jc w:val="left"/>
              <w:rPr>
                <w:rFonts w:ascii="楷体_GB2312" w:hAnsi="楷体_GB2312" w:eastAsia="楷体_GB2312" w:cs="楷体_GB2312"/>
                <w:b/>
                <w:bCs/>
                <w:color w:val="auto"/>
                <w:szCs w:val="21"/>
              </w:rPr>
            </w:pPr>
            <w:r>
              <w:rPr>
                <w:rFonts w:ascii="楷体_GB2312" w:hAnsi="楷体_GB2312" w:eastAsia="楷体_GB2312" w:cs="楷体_GB2312"/>
                <w:b/>
                <w:bCs/>
                <w:color w:val="auto"/>
                <w:szCs w:val="21"/>
              </w:rPr>
              <w:t>8.</w:t>
            </w:r>
            <w:r>
              <w:rPr>
                <w:rFonts w:hint="eastAsia" w:ascii="楷体_GB2312" w:hAnsi="楷体_GB2312" w:eastAsia="楷体_GB2312" w:cs="楷体_GB2312"/>
                <w:b/>
                <w:bCs/>
                <w:color w:val="auto"/>
                <w:szCs w:val="21"/>
              </w:rPr>
              <w:t>落实“双一流”行动计划。</w:t>
            </w:r>
          </w:p>
        </w:tc>
        <w:tc>
          <w:tcPr>
            <w:tcW w:w="4182" w:type="dxa"/>
            <w:vAlign w:val="center"/>
          </w:tcPr>
          <w:p>
            <w:pPr>
              <w:spacing w:line="320" w:lineRule="exact"/>
              <w:rPr>
                <w:rFonts w:ascii="楷体_GB2312" w:hAnsi="楷体_GB2312" w:eastAsia="楷体_GB2312" w:cs="楷体_GB2312"/>
                <w:color w:val="auto"/>
                <w:szCs w:val="21"/>
              </w:rPr>
            </w:pPr>
            <w:r>
              <w:rPr>
                <w:rFonts w:hint="eastAsia" w:ascii="楷体_GB2312" w:hAnsi="楷体_GB2312" w:eastAsia="楷体_GB2312" w:cs="楷体_GB2312"/>
                <w:color w:val="auto"/>
                <w:szCs w:val="21"/>
              </w:rPr>
              <w:t>①力争获批高水平大学奖补资金项目和一流学科奖补资金项目。</w:t>
            </w:r>
          </w:p>
        </w:tc>
        <w:tc>
          <w:tcPr>
            <w:tcW w:w="4708" w:type="dxa"/>
            <w:vMerge w:val="restart"/>
            <w:vAlign w:val="center"/>
          </w:tcPr>
          <w:p>
            <w:pPr>
              <w:spacing w:line="320" w:lineRule="exact"/>
              <w:jc w:val="center"/>
              <w:rPr>
                <w:rFonts w:ascii="宋体" w:cs="宋体"/>
                <w:color w:val="auto"/>
                <w:szCs w:val="21"/>
              </w:rPr>
            </w:pPr>
          </w:p>
        </w:tc>
        <w:tc>
          <w:tcPr>
            <w:tcW w:w="1395" w:type="dxa"/>
            <w:vAlign w:val="center"/>
          </w:tcPr>
          <w:p>
            <w:pPr>
              <w:spacing w:line="320" w:lineRule="exact"/>
              <w:jc w:val="center"/>
              <w:rPr>
                <w:rFonts w:ascii="宋体" w:cs="宋体"/>
                <w:color w:val="auto"/>
                <w:szCs w:val="21"/>
              </w:rPr>
            </w:pPr>
          </w:p>
        </w:tc>
        <w:tc>
          <w:tcPr>
            <w:tcW w:w="1110" w:type="dxa"/>
            <w:vAlign w:val="center"/>
          </w:tcPr>
          <w:p>
            <w:pPr>
              <w:spacing w:line="320" w:lineRule="exact"/>
              <w:jc w:val="center"/>
              <w:rPr>
                <w:color w:val="auto"/>
                <w:sz w:val="18"/>
                <w:szCs w:val="18"/>
              </w:rPr>
            </w:pPr>
            <w:r>
              <w:rPr>
                <w:rFonts w:hint="eastAsia"/>
                <w:color w:val="auto"/>
                <w:sz w:val="18"/>
                <w:szCs w:val="18"/>
              </w:rPr>
              <w:t>科技处</w:t>
            </w:r>
          </w:p>
          <w:p>
            <w:pPr>
              <w:spacing w:line="320" w:lineRule="exact"/>
              <w:jc w:val="center"/>
              <w:rPr>
                <w:color w:val="auto"/>
                <w:sz w:val="18"/>
                <w:szCs w:val="18"/>
              </w:rPr>
            </w:pPr>
            <w:r>
              <w:rPr>
                <w:rFonts w:hint="eastAsia"/>
                <w:color w:val="auto"/>
                <w:sz w:val="18"/>
                <w:szCs w:val="18"/>
              </w:rPr>
              <w:t>教务处</w:t>
            </w:r>
          </w:p>
        </w:tc>
        <w:tc>
          <w:tcPr>
            <w:tcW w:w="1122" w:type="dxa"/>
            <w:vAlign w:val="center"/>
          </w:tcPr>
          <w:p>
            <w:pPr>
              <w:spacing w:line="320" w:lineRule="exact"/>
              <w:jc w:val="center"/>
              <w:rPr>
                <w:color w:val="auto"/>
                <w:sz w:val="18"/>
                <w:szCs w:val="18"/>
              </w:rPr>
            </w:pPr>
            <w:r>
              <w:rPr>
                <w:rFonts w:hint="eastAsia"/>
                <w:color w:val="auto"/>
                <w:sz w:val="18"/>
                <w:szCs w:val="18"/>
              </w:rPr>
              <w:t>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1608" w:type="dxa"/>
            <w:vMerge w:val="continue"/>
            <w:vAlign w:val="center"/>
          </w:tcPr>
          <w:p>
            <w:pPr>
              <w:widowControl/>
              <w:spacing w:line="320" w:lineRule="exact"/>
              <w:jc w:val="left"/>
              <w:rPr>
                <w:rFonts w:ascii="楷体_GB2312" w:hAnsi="楷体_GB2312" w:eastAsia="楷体_GB2312" w:cs="楷体_GB2312"/>
                <w:b/>
                <w:bCs/>
                <w:color w:val="auto"/>
                <w:szCs w:val="21"/>
              </w:rPr>
            </w:pPr>
          </w:p>
        </w:tc>
        <w:tc>
          <w:tcPr>
            <w:tcW w:w="4182" w:type="dxa"/>
            <w:vAlign w:val="center"/>
          </w:tcPr>
          <w:p>
            <w:pPr>
              <w:spacing w:line="320" w:lineRule="exact"/>
              <w:rPr>
                <w:rFonts w:ascii="楷体_GB2312" w:hAnsi="楷体_GB2312" w:eastAsia="楷体_GB2312" w:cs="楷体_GB2312"/>
                <w:color w:val="auto"/>
                <w:szCs w:val="21"/>
              </w:rPr>
            </w:pPr>
            <w:r>
              <w:rPr>
                <w:rFonts w:hint="eastAsia" w:ascii="楷体_GB2312" w:hAnsi="楷体_GB2312" w:eastAsia="楷体_GB2312" w:cs="楷体_GB2312"/>
                <w:color w:val="auto"/>
                <w:szCs w:val="21"/>
              </w:rPr>
              <w:t>②加大对高水平大学项目建设的协调和推进力度，落实高水平大学绩效考核办法，认真组织开展地方应用型高水平大学项目建设中期自查。</w:t>
            </w:r>
          </w:p>
        </w:tc>
        <w:tc>
          <w:tcPr>
            <w:tcW w:w="4708" w:type="dxa"/>
            <w:vMerge w:val="continue"/>
            <w:vAlign w:val="center"/>
          </w:tcPr>
          <w:p>
            <w:pPr>
              <w:spacing w:line="320" w:lineRule="exact"/>
              <w:jc w:val="center"/>
              <w:rPr>
                <w:rFonts w:ascii="宋体" w:cs="宋体"/>
                <w:color w:val="auto"/>
                <w:szCs w:val="21"/>
              </w:rPr>
            </w:pPr>
          </w:p>
        </w:tc>
        <w:tc>
          <w:tcPr>
            <w:tcW w:w="1395" w:type="dxa"/>
            <w:vAlign w:val="center"/>
          </w:tcPr>
          <w:p>
            <w:pPr>
              <w:spacing w:line="320" w:lineRule="exact"/>
              <w:jc w:val="center"/>
              <w:rPr>
                <w:rFonts w:ascii="宋体" w:cs="宋体"/>
                <w:color w:val="auto"/>
                <w:szCs w:val="21"/>
              </w:rPr>
            </w:pPr>
          </w:p>
        </w:tc>
        <w:tc>
          <w:tcPr>
            <w:tcW w:w="1110" w:type="dxa"/>
            <w:vAlign w:val="center"/>
          </w:tcPr>
          <w:p>
            <w:pPr>
              <w:spacing w:line="320" w:lineRule="exact"/>
              <w:jc w:val="center"/>
              <w:rPr>
                <w:color w:val="auto"/>
                <w:sz w:val="18"/>
                <w:szCs w:val="18"/>
              </w:rPr>
            </w:pPr>
            <w:r>
              <w:rPr>
                <w:rFonts w:hint="eastAsia"/>
                <w:color w:val="auto"/>
                <w:sz w:val="18"/>
                <w:szCs w:val="18"/>
              </w:rPr>
              <w:t>教务处</w:t>
            </w:r>
          </w:p>
        </w:tc>
        <w:tc>
          <w:tcPr>
            <w:tcW w:w="1122" w:type="dxa"/>
            <w:vAlign w:val="center"/>
          </w:tcPr>
          <w:p>
            <w:pPr>
              <w:spacing w:line="320" w:lineRule="exact"/>
              <w:jc w:val="center"/>
              <w:rPr>
                <w:color w:val="auto"/>
                <w:sz w:val="18"/>
                <w:szCs w:val="18"/>
              </w:rPr>
            </w:pPr>
            <w:r>
              <w:rPr>
                <w:rFonts w:hint="eastAsia"/>
                <w:color w:val="auto"/>
                <w:sz w:val="18"/>
                <w:szCs w:val="18"/>
              </w:rPr>
              <w:t>“</w:t>
            </w:r>
            <w:r>
              <w:rPr>
                <w:color w:val="auto"/>
                <w:sz w:val="18"/>
                <w:szCs w:val="18"/>
              </w:rPr>
              <w:t>865</w:t>
            </w:r>
            <w:r>
              <w:rPr>
                <w:rFonts w:hint="eastAsia"/>
                <w:color w:val="auto"/>
                <w:sz w:val="18"/>
                <w:szCs w:val="18"/>
              </w:rPr>
              <w:t>”建设项目牵头单位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7" w:hRule="atLeast"/>
          <w:jc w:val="center"/>
        </w:trPr>
        <w:tc>
          <w:tcPr>
            <w:tcW w:w="1608" w:type="dxa"/>
            <w:vAlign w:val="center"/>
          </w:tcPr>
          <w:p>
            <w:pPr>
              <w:spacing w:line="320" w:lineRule="exact"/>
              <w:jc w:val="left"/>
              <w:rPr>
                <w:rFonts w:ascii="楷体_GB2312" w:hAnsi="楷体_GB2312" w:eastAsia="楷体_GB2312" w:cs="楷体_GB2312"/>
                <w:b/>
                <w:bCs/>
                <w:color w:val="auto"/>
                <w:szCs w:val="21"/>
              </w:rPr>
            </w:pPr>
            <w:r>
              <w:rPr>
                <w:rFonts w:ascii="楷体_GB2312" w:hAnsi="楷体_GB2312" w:eastAsia="楷体_GB2312" w:cs="楷体_GB2312"/>
                <w:b/>
                <w:bCs/>
                <w:color w:val="auto"/>
                <w:szCs w:val="21"/>
              </w:rPr>
              <w:t>9.</w:t>
            </w:r>
            <w:r>
              <w:rPr>
                <w:rFonts w:hint="eastAsia" w:ascii="楷体_GB2312" w:hAnsi="楷体_GB2312" w:eastAsia="楷体_GB2312" w:cs="楷体_GB2312"/>
                <w:b/>
                <w:bCs/>
                <w:color w:val="auto"/>
                <w:szCs w:val="21"/>
              </w:rPr>
              <w:t>扎实推进“十三五”规划年度计划。</w:t>
            </w:r>
          </w:p>
        </w:tc>
        <w:tc>
          <w:tcPr>
            <w:tcW w:w="4182" w:type="dxa"/>
            <w:vAlign w:val="center"/>
          </w:tcPr>
          <w:p>
            <w:pPr>
              <w:spacing w:line="320" w:lineRule="exact"/>
              <w:rPr>
                <w:rFonts w:ascii="楷体_GB2312" w:hAnsi="楷体_GB2312" w:eastAsia="楷体_GB2312" w:cs="楷体_GB2312"/>
                <w:color w:val="auto"/>
                <w:szCs w:val="21"/>
              </w:rPr>
            </w:pPr>
            <w:r>
              <w:rPr>
                <w:rFonts w:hint="eastAsia" w:ascii="楷体_GB2312" w:hAnsi="楷体_GB2312" w:eastAsia="楷体_GB2312" w:cs="楷体_GB2312"/>
                <w:color w:val="auto"/>
                <w:szCs w:val="21"/>
              </w:rPr>
              <w:t>①落实学校“十三五”事业发展规划和各专项规划年度计划，推进基本办学定位在二级学院规划中的有效落实。</w:t>
            </w:r>
          </w:p>
          <w:p>
            <w:pPr>
              <w:spacing w:line="320" w:lineRule="exact"/>
              <w:rPr>
                <w:rFonts w:ascii="楷体_GB2312" w:hAnsi="楷体_GB2312" w:eastAsia="楷体_GB2312" w:cs="楷体_GB2312"/>
                <w:color w:val="auto"/>
                <w:szCs w:val="21"/>
              </w:rPr>
            </w:pPr>
            <w:r>
              <w:rPr>
                <w:rFonts w:hint="eastAsia" w:ascii="楷体_GB2312" w:hAnsi="楷体_GB2312" w:eastAsia="楷体_GB2312" w:cs="楷体_GB2312"/>
                <w:color w:val="auto"/>
                <w:szCs w:val="21"/>
              </w:rPr>
              <w:t>②加大对目标任务完成情况的督查，确保规划任务按期完成。</w:t>
            </w:r>
          </w:p>
        </w:tc>
        <w:tc>
          <w:tcPr>
            <w:tcW w:w="4708" w:type="dxa"/>
            <w:vMerge w:val="continue"/>
            <w:vAlign w:val="center"/>
          </w:tcPr>
          <w:p>
            <w:pPr>
              <w:spacing w:line="320" w:lineRule="exact"/>
              <w:jc w:val="center"/>
              <w:rPr>
                <w:rFonts w:ascii="宋体" w:cs="宋体"/>
                <w:color w:val="auto"/>
                <w:szCs w:val="21"/>
              </w:rPr>
            </w:pPr>
          </w:p>
        </w:tc>
        <w:tc>
          <w:tcPr>
            <w:tcW w:w="1395" w:type="dxa"/>
            <w:vAlign w:val="center"/>
          </w:tcPr>
          <w:p>
            <w:pPr>
              <w:spacing w:line="320" w:lineRule="exact"/>
              <w:jc w:val="center"/>
              <w:rPr>
                <w:rFonts w:ascii="宋体" w:cs="宋体"/>
                <w:color w:val="auto"/>
                <w:szCs w:val="21"/>
              </w:rPr>
            </w:pPr>
          </w:p>
        </w:tc>
        <w:tc>
          <w:tcPr>
            <w:tcW w:w="1110" w:type="dxa"/>
            <w:vAlign w:val="center"/>
          </w:tcPr>
          <w:p>
            <w:pPr>
              <w:spacing w:line="320" w:lineRule="exact"/>
              <w:jc w:val="center"/>
              <w:rPr>
                <w:color w:val="auto"/>
                <w:sz w:val="18"/>
                <w:szCs w:val="18"/>
              </w:rPr>
            </w:pPr>
            <w:r>
              <w:rPr>
                <w:rFonts w:hint="eastAsia"/>
                <w:color w:val="auto"/>
                <w:sz w:val="18"/>
                <w:szCs w:val="18"/>
              </w:rPr>
              <w:t>发展规划处</w:t>
            </w:r>
          </w:p>
        </w:tc>
        <w:tc>
          <w:tcPr>
            <w:tcW w:w="1122" w:type="dxa"/>
            <w:vAlign w:val="center"/>
          </w:tcPr>
          <w:p>
            <w:pPr>
              <w:spacing w:line="320" w:lineRule="exact"/>
              <w:jc w:val="center"/>
              <w:rPr>
                <w:color w:val="auto"/>
                <w:sz w:val="18"/>
                <w:szCs w:val="18"/>
              </w:rPr>
            </w:pPr>
            <w:r>
              <w:rPr>
                <w:rFonts w:hint="eastAsia"/>
                <w:color w:val="auto"/>
                <w:sz w:val="18"/>
                <w:szCs w:val="18"/>
              </w:rPr>
              <w:t>各子规划牵头单位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075" w:hRule="atLeast"/>
          <w:jc w:val="center"/>
        </w:trPr>
        <w:tc>
          <w:tcPr>
            <w:tcW w:w="1608" w:type="dxa"/>
            <w:vAlign w:val="center"/>
          </w:tcPr>
          <w:p>
            <w:pPr>
              <w:spacing w:line="320" w:lineRule="exact"/>
              <w:jc w:val="left"/>
              <w:rPr>
                <w:rFonts w:ascii="楷体_GB2312" w:hAnsi="楷体_GB2312" w:eastAsia="楷体_GB2312" w:cs="楷体_GB2312"/>
                <w:b/>
                <w:bCs/>
                <w:color w:val="auto"/>
                <w:szCs w:val="21"/>
              </w:rPr>
            </w:pPr>
            <w:r>
              <w:rPr>
                <w:rFonts w:ascii="楷体_GB2312" w:hAnsi="楷体_GB2312" w:eastAsia="楷体_GB2312" w:cs="楷体_GB2312"/>
                <w:b/>
                <w:bCs/>
                <w:color w:val="auto"/>
                <w:szCs w:val="21"/>
              </w:rPr>
              <w:t>10.</w:t>
            </w:r>
            <w:r>
              <w:rPr>
                <w:rFonts w:hint="eastAsia" w:ascii="楷体_GB2312" w:hAnsi="楷体_GB2312" w:eastAsia="楷体_GB2312" w:cs="楷体_GB2312"/>
                <w:b/>
                <w:bCs/>
                <w:color w:val="auto"/>
                <w:szCs w:val="21"/>
              </w:rPr>
              <w:t>全面推进审核评估工作。</w:t>
            </w:r>
          </w:p>
        </w:tc>
        <w:tc>
          <w:tcPr>
            <w:tcW w:w="4182" w:type="dxa"/>
            <w:vAlign w:val="center"/>
          </w:tcPr>
          <w:p>
            <w:pPr>
              <w:spacing w:line="320" w:lineRule="exact"/>
              <w:rPr>
                <w:rFonts w:ascii="楷体_GB2312" w:hAnsi="楷体_GB2312" w:eastAsia="楷体_GB2312" w:cs="楷体_GB2312"/>
                <w:color w:val="auto"/>
                <w:szCs w:val="21"/>
              </w:rPr>
            </w:pPr>
            <w:r>
              <w:rPr>
                <w:rFonts w:hint="eastAsia" w:ascii="楷体_GB2312" w:hAnsi="楷体_GB2312" w:eastAsia="楷体_GB2312" w:cs="楷体_GB2312"/>
                <w:color w:val="auto"/>
                <w:szCs w:val="21"/>
              </w:rPr>
              <w:t>出台二级学院评建工作方案，加强特色项目建设，开展审核评估预评估，撰写学校本科教学工作审核自评报告、教学基本状态数据分析报告，继续完善教学质量保障体系，加强体系运行管理与监测工作。编制并发布本科教学质量报告和艺术教育发展年度报告。</w:t>
            </w:r>
          </w:p>
        </w:tc>
        <w:tc>
          <w:tcPr>
            <w:tcW w:w="4708" w:type="dxa"/>
            <w:vMerge w:val="continue"/>
            <w:vAlign w:val="center"/>
          </w:tcPr>
          <w:p>
            <w:pPr>
              <w:spacing w:line="320" w:lineRule="exact"/>
              <w:jc w:val="center"/>
              <w:rPr>
                <w:rFonts w:ascii="宋体" w:cs="宋体"/>
                <w:color w:val="auto"/>
                <w:szCs w:val="21"/>
              </w:rPr>
            </w:pPr>
          </w:p>
        </w:tc>
        <w:tc>
          <w:tcPr>
            <w:tcW w:w="1395" w:type="dxa"/>
            <w:vAlign w:val="center"/>
          </w:tcPr>
          <w:p>
            <w:pPr>
              <w:spacing w:line="320" w:lineRule="exact"/>
              <w:jc w:val="center"/>
              <w:rPr>
                <w:rFonts w:ascii="宋体" w:cs="宋体"/>
                <w:color w:val="auto"/>
                <w:szCs w:val="21"/>
              </w:rPr>
            </w:pPr>
          </w:p>
        </w:tc>
        <w:tc>
          <w:tcPr>
            <w:tcW w:w="1110" w:type="dxa"/>
            <w:vAlign w:val="center"/>
          </w:tcPr>
          <w:p>
            <w:pPr>
              <w:spacing w:line="320" w:lineRule="exact"/>
              <w:jc w:val="center"/>
              <w:rPr>
                <w:color w:val="auto"/>
                <w:sz w:val="18"/>
                <w:szCs w:val="18"/>
              </w:rPr>
            </w:pPr>
            <w:r>
              <w:rPr>
                <w:rFonts w:hint="eastAsia"/>
                <w:color w:val="auto"/>
                <w:sz w:val="18"/>
                <w:szCs w:val="18"/>
              </w:rPr>
              <w:t>质评处</w:t>
            </w:r>
          </w:p>
        </w:tc>
        <w:tc>
          <w:tcPr>
            <w:tcW w:w="1122" w:type="dxa"/>
            <w:vAlign w:val="center"/>
          </w:tcPr>
          <w:p>
            <w:pPr>
              <w:spacing w:line="320" w:lineRule="exact"/>
              <w:jc w:val="center"/>
              <w:rPr>
                <w:color w:val="auto"/>
                <w:sz w:val="18"/>
                <w:szCs w:val="18"/>
              </w:rPr>
            </w:pPr>
            <w:r>
              <w:rPr>
                <w:rFonts w:hint="eastAsia"/>
                <w:color w:val="auto"/>
                <w:sz w:val="18"/>
                <w:szCs w:val="18"/>
              </w:rPr>
              <w:t>各单位、各二级学院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5" w:hRule="atLeast"/>
          <w:jc w:val="center"/>
        </w:trPr>
        <w:tc>
          <w:tcPr>
            <w:tcW w:w="1608" w:type="dxa"/>
            <w:vAlign w:val="center"/>
          </w:tcPr>
          <w:p>
            <w:pPr>
              <w:spacing w:line="320" w:lineRule="exact"/>
              <w:jc w:val="left"/>
              <w:rPr>
                <w:rStyle w:val="6"/>
                <w:rFonts w:ascii="楷体_GB2312" w:hAnsi="楷体_GB2312" w:eastAsia="楷体_GB2312" w:cs="楷体_GB2312"/>
                <w:color w:val="auto"/>
                <w:szCs w:val="21"/>
              </w:rPr>
            </w:pPr>
            <w:r>
              <w:rPr>
                <w:rFonts w:ascii="楷体_GB2312" w:hAnsi="楷体_GB2312" w:eastAsia="楷体_GB2312" w:cs="楷体_GB2312"/>
                <w:b/>
                <w:bCs/>
                <w:color w:val="auto"/>
                <w:szCs w:val="21"/>
              </w:rPr>
              <w:t>11.</w:t>
            </w:r>
            <w:r>
              <w:rPr>
                <w:rFonts w:hint="eastAsia" w:ascii="楷体_GB2312" w:hAnsi="楷体_GB2312" w:eastAsia="楷体_GB2312" w:cs="楷体_GB2312"/>
                <w:b/>
                <w:bCs/>
                <w:color w:val="auto"/>
                <w:szCs w:val="21"/>
              </w:rPr>
              <w:t>继续加强专业建设。</w:t>
            </w:r>
          </w:p>
        </w:tc>
        <w:tc>
          <w:tcPr>
            <w:tcW w:w="4182" w:type="dxa"/>
            <w:vAlign w:val="center"/>
          </w:tcPr>
          <w:p>
            <w:pPr>
              <w:spacing w:line="320" w:lineRule="exact"/>
              <w:rPr>
                <w:rFonts w:ascii="楷体_GB2312" w:hAnsi="楷体_GB2312" w:eastAsia="楷体_GB2312" w:cs="楷体_GB2312"/>
                <w:color w:val="auto"/>
                <w:szCs w:val="21"/>
              </w:rPr>
            </w:pPr>
            <w:r>
              <w:rPr>
                <w:rFonts w:hint="eastAsia" w:ascii="楷体_GB2312" w:hAnsi="楷体_GB2312" w:eastAsia="楷体_GB2312" w:cs="楷体_GB2312"/>
                <w:color w:val="auto"/>
                <w:szCs w:val="21"/>
              </w:rPr>
              <w:t>①继续增设应用型本科专业。</w:t>
            </w:r>
          </w:p>
          <w:p>
            <w:pPr>
              <w:spacing w:line="320" w:lineRule="exact"/>
              <w:rPr>
                <w:rFonts w:ascii="楷体_GB2312" w:hAnsi="楷体_GB2312" w:eastAsia="楷体_GB2312" w:cs="楷体_GB2312"/>
                <w:color w:val="auto"/>
                <w:szCs w:val="21"/>
              </w:rPr>
            </w:pPr>
            <w:r>
              <w:rPr>
                <w:rFonts w:hint="eastAsia" w:ascii="楷体_GB2312" w:hAnsi="楷体_GB2312" w:eastAsia="楷体_GB2312" w:cs="楷体_GB2312"/>
                <w:color w:val="auto"/>
                <w:szCs w:val="21"/>
              </w:rPr>
              <w:t>②加强工程认证试点专业力度，建设“新工科”试点专业，推进工程教育改革。</w:t>
            </w:r>
          </w:p>
          <w:p>
            <w:pPr>
              <w:spacing w:line="320" w:lineRule="exact"/>
              <w:rPr>
                <w:rFonts w:ascii="楷体_GB2312" w:hAnsi="楷体_GB2312" w:eastAsia="楷体_GB2312" w:cs="楷体_GB2312"/>
                <w:color w:val="auto"/>
                <w:szCs w:val="21"/>
              </w:rPr>
            </w:pPr>
            <w:r>
              <w:rPr>
                <w:rFonts w:hint="eastAsia" w:ascii="楷体_GB2312" w:hAnsi="楷体_GB2312" w:eastAsia="楷体_GB2312" w:cs="楷体_GB2312"/>
                <w:color w:val="auto"/>
                <w:szCs w:val="21"/>
              </w:rPr>
              <w:t>③开展校内本科专业评估，确保顺利通过省本科专业评估。</w:t>
            </w:r>
          </w:p>
        </w:tc>
        <w:tc>
          <w:tcPr>
            <w:tcW w:w="4708" w:type="dxa"/>
            <w:vMerge w:val="continue"/>
            <w:vAlign w:val="center"/>
          </w:tcPr>
          <w:p>
            <w:pPr>
              <w:spacing w:line="320" w:lineRule="exact"/>
              <w:jc w:val="center"/>
              <w:rPr>
                <w:rFonts w:ascii="宋体" w:cs="宋体"/>
                <w:color w:val="auto"/>
                <w:szCs w:val="21"/>
              </w:rPr>
            </w:pPr>
          </w:p>
        </w:tc>
        <w:tc>
          <w:tcPr>
            <w:tcW w:w="1395" w:type="dxa"/>
            <w:vAlign w:val="center"/>
          </w:tcPr>
          <w:p>
            <w:pPr>
              <w:spacing w:line="320" w:lineRule="exact"/>
              <w:jc w:val="center"/>
              <w:rPr>
                <w:rFonts w:ascii="宋体" w:cs="宋体"/>
                <w:color w:val="auto"/>
                <w:szCs w:val="21"/>
              </w:rPr>
            </w:pPr>
          </w:p>
        </w:tc>
        <w:tc>
          <w:tcPr>
            <w:tcW w:w="1110" w:type="dxa"/>
            <w:vAlign w:val="center"/>
          </w:tcPr>
          <w:p>
            <w:pPr>
              <w:spacing w:line="320" w:lineRule="exact"/>
              <w:jc w:val="center"/>
              <w:rPr>
                <w:color w:val="auto"/>
                <w:sz w:val="18"/>
                <w:szCs w:val="18"/>
              </w:rPr>
            </w:pPr>
            <w:r>
              <w:rPr>
                <w:rFonts w:hint="eastAsia"/>
                <w:color w:val="auto"/>
                <w:sz w:val="18"/>
                <w:szCs w:val="18"/>
              </w:rPr>
              <w:t>教务处</w:t>
            </w:r>
          </w:p>
        </w:tc>
        <w:tc>
          <w:tcPr>
            <w:tcW w:w="1122" w:type="dxa"/>
            <w:vAlign w:val="center"/>
          </w:tcPr>
          <w:p>
            <w:pPr>
              <w:spacing w:line="320" w:lineRule="exact"/>
              <w:jc w:val="center"/>
              <w:rPr>
                <w:color w:val="auto"/>
                <w:sz w:val="18"/>
                <w:szCs w:val="18"/>
              </w:rPr>
            </w:pPr>
            <w:r>
              <w:rPr>
                <w:rFonts w:hint="eastAsia"/>
                <w:color w:val="auto"/>
                <w:sz w:val="18"/>
                <w:szCs w:val="18"/>
              </w:rPr>
              <w:t>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5" w:hRule="atLeast"/>
          <w:jc w:val="center"/>
        </w:trPr>
        <w:tc>
          <w:tcPr>
            <w:tcW w:w="1608" w:type="dxa"/>
            <w:vAlign w:val="center"/>
          </w:tcPr>
          <w:p>
            <w:pPr>
              <w:spacing w:line="320" w:lineRule="exact"/>
              <w:jc w:val="left"/>
              <w:rPr>
                <w:rStyle w:val="6"/>
                <w:rFonts w:ascii="楷体_GB2312" w:hAnsi="楷体_GB2312" w:eastAsia="楷体_GB2312" w:cs="楷体_GB2312"/>
                <w:color w:val="auto"/>
                <w:szCs w:val="21"/>
              </w:rPr>
            </w:pPr>
            <w:r>
              <w:rPr>
                <w:rFonts w:ascii="楷体_GB2312" w:hAnsi="楷体_GB2312" w:eastAsia="楷体_GB2312" w:cs="楷体_GB2312"/>
                <w:b/>
                <w:bCs/>
                <w:color w:val="auto"/>
                <w:szCs w:val="21"/>
              </w:rPr>
              <w:t>12.</w:t>
            </w:r>
            <w:r>
              <w:rPr>
                <w:rFonts w:hint="eastAsia" w:ascii="楷体_GB2312" w:hAnsi="楷体_GB2312" w:eastAsia="楷体_GB2312" w:cs="楷体_GB2312"/>
                <w:b/>
                <w:bCs/>
                <w:color w:val="auto"/>
                <w:szCs w:val="21"/>
              </w:rPr>
              <w:t>推进人才培养模式改革。</w:t>
            </w:r>
          </w:p>
        </w:tc>
        <w:tc>
          <w:tcPr>
            <w:tcW w:w="4182" w:type="dxa"/>
            <w:vAlign w:val="center"/>
          </w:tcPr>
          <w:p>
            <w:pPr>
              <w:spacing w:line="320" w:lineRule="exact"/>
              <w:rPr>
                <w:rFonts w:ascii="楷体_GB2312" w:hAnsi="楷体_GB2312" w:eastAsia="楷体_GB2312" w:cs="楷体_GB2312"/>
                <w:color w:val="auto"/>
                <w:szCs w:val="21"/>
              </w:rPr>
            </w:pPr>
            <w:r>
              <w:rPr>
                <w:rFonts w:hint="eastAsia" w:ascii="楷体_GB2312" w:hAnsi="楷体_GB2312" w:eastAsia="楷体_GB2312" w:cs="楷体_GB2312"/>
                <w:color w:val="auto"/>
                <w:szCs w:val="21"/>
              </w:rPr>
              <w:t>①深化“三位一体”的应用型人才培养体制机制改革，试点设立创新创业实验班。</w:t>
            </w:r>
          </w:p>
          <w:p>
            <w:pPr>
              <w:spacing w:line="320" w:lineRule="exact"/>
              <w:rPr>
                <w:rFonts w:ascii="楷体_GB2312" w:hAnsi="楷体_GB2312" w:eastAsia="楷体_GB2312" w:cs="楷体_GB2312"/>
                <w:color w:val="auto"/>
                <w:szCs w:val="21"/>
              </w:rPr>
            </w:pPr>
            <w:r>
              <w:rPr>
                <w:rFonts w:hint="eastAsia" w:ascii="楷体_GB2312" w:hAnsi="楷体_GB2312" w:eastAsia="楷体_GB2312" w:cs="楷体_GB2312"/>
                <w:color w:val="auto"/>
                <w:szCs w:val="21"/>
              </w:rPr>
              <w:t>②开展应用型课程建设遴选活动，评选第四轮合格课程及优秀课程。</w:t>
            </w:r>
          </w:p>
          <w:p>
            <w:pPr>
              <w:spacing w:line="320" w:lineRule="exact"/>
              <w:rPr>
                <w:rFonts w:ascii="楷体_GB2312" w:hAnsi="楷体_GB2312" w:eastAsia="楷体_GB2312" w:cs="楷体_GB2312"/>
                <w:color w:val="auto"/>
                <w:szCs w:val="21"/>
              </w:rPr>
            </w:pPr>
            <w:r>
              <w:rPr>
                <w:rFonts w:hint="eastAsia" w:ascii="楷体_GB2312" w:hAnsi="楷体_GB2312" w:eastAsia="楷体_GB2312" w:cs="楷体_GB2312"/>
                <w:color w:val="auto"/>
                <w:szCs w:val="21"/>
              </w:rPr>
              <w:t>③推进慕课（</w:t>
            </w:r>
            <w:r>
              <w:rPr>
                <w:rFonts w:ascii="楷体_GB2312" w:hAnsi="楷体_GB2312" w:eastAsia="楷体_GB2312" w:cs="楷体_GB2312"/>
                <w:color w:val="auto"/>
                <w:szCs w:val="21"/>
              </w:rPr>
              <w:t>MOOC</w:t>
            </w:r>
            <w:r>
              <w:rPr>
                <w:rFonts w:hint="eastAsia" w:ascii="楷体_GB2312" w:hAnsi="楷体_GB2312" w:eastAsia="楷体_GB2312" w:cs="楷体_GB2312"/>
                <w:color w:val="auto"/>
                <w:szCs w:val="21"/>
              </w:rPr>
              <w:t>）等数字化优质教学资源共享以及学生自主学习网络平台建设。</w:t>
            </w:r>
          </w:p>
        </w:tc>
        <w:tc>
          <w:tcPr>
            <w:tcW w:w="4708" w:type="dxa"/>
            <w:vMerge w:val="continue"/>
            <w:vAlign w:val="center"/>
          </w:tcPr>
          <w:p>
            <w:pPr>
              <w:spacing w:line="320" w:lineRule="exact"/>
              <w:jc w:val="center"/>
              <w:rPr>
                <w:rFonts w:ascii="宋体" w:cs="宋体"/>
                <w:color w:val="auto"/>
                <w:szCs w:val="21"/>
              </w:rPr>
            </w:pPr>
          </w:p>
        </w:tc>
        <w:tc>
          <w:tcPr>
            <w:tcW w:w="1395" w:type="dxa"/>
            <w:vAlign w:val="center"/>
          </w:tcPr>
          <w:p>
            <w:pPr>
              <w:spacing w:line="320" w:lineRule="exact"/>
              <w:jc w:val="center"/>
              <w:rPr>
                <w:rFonts w:ascii="宋体" w:cs="宋体"/>
                <w:color w:val="auto"/>
                <w:szCs w:val="21"/>
              </w:rPr>
            </w:pPr>
          </w:p>
        </w:tc>
        <w:tc>
          <w:tcPr>
            <w:tcW w:w="1110" w:type="dxa"/>
            <w:vAlign w:val="center"/>
          </w:tcPr>
          <w:p>
            <w:pPr>
              <w:spacing w:line="320" w:lineRule="exact"/>
              <w:jc w:val="center"/>
              <w:rPr>
                <w:color w:val="auto"/>
                <w:sz w:val="18"/>
                <w:szCs w:val="18"/>
              </w:rPr>
            </w:pPr>
            <w:r>
              <w:rPr>
                <w:rFonts w:hint="eastAsia"/>
                <w:color w:val="auto"/>
                <w:sz w:val="18"/>
                <w:szCs w:val="18"/>
              </w:rPr>
              <w:t>教务处</w:t>
            </w:r>
          </w:p>
        </w:tc>
        <w:tc>
          <w:tcPr>
            <w:tcW w:w="1122" w:type="dxa"/>
            <w:vAlign w:val="center"/>
          </w:tcPr>
          <w:p>
            <w:pPr>
              <w:spacing w:line="320" w:lineRule="exact"/>
              <w:jc w:val="center"/>
              <w:rPr>
                <w:color w:val="auto"/>
                <w:sz w:val="18"/>
                <w:szCs w:val="18"/>
              </w:rPr>
            </w:pPr>
            <w:r>
              <w:rPr>
                <w:rFonts w:hint="eastAsia"/>
                <w:color w:val="auto"/>
                <w:sz w:val="18"/>
                <w:szCs w:val="18"/>
              </w:rPr>
              <w:t>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075" w:hRule="atLeast"/>
          <w:jc w:val="center"/>
        </w:trPr>
        <w:tc>
          <w:tcPr>
            <w:tcW w:w="1608" w:type="dxa"/>
            <w:vAlign w:val="center"/>
          </w:tcPr>
          <w:p>
            <w:pPr>
              <w:spacing w:line="320" w:lineRule="exact"/>
              <w:jc w:val="left"/>
              <w:rPr>
                <w:rStyle w:val="6"/>
                <w:rFonts w:ascii="楷体_GB2312" w:hAnsi="楷体_GB2312" w:eastAsia="楷体_GB2312" w:cs="楷体_GB2312"/>
                <w:color w:val="auto"/>
                <w:szCs w:val="21"/>
              </w:rPr>
            </w:pPr>
            <w:r>
              <w:rPr>
                <w:rFonts w:ascii="楷体_GB2312" w:hAnsi="楷体_GB2312" w:eastAsia="楷体_GB2312" w:cs="楷体_GB2312"/>
                <w:b/>
                <w:bCs/>
                <w:color w:val="auto"/>
                <w:szCs w:val="21"/>
              </w:rPr>
              <w:t>13.</w:t>
            </w:r>
            <w:r>
              <w:rPr>
                <w:rFonts w:hint="eastAsia" w:ascii="楷体_GB2312" w:hAnsi="楷体_GB2312" w:eastAsia="楷体_GB2312" w:cs="楷体_GB2312"/>
                <w:b/>
                <w:bCs/>
                <w:color w:val="auto"/>
                <w:szCs w:val="21"/>
              </w:rPr>
              <w:t>深化创新创业教育改革。</w:t>
            </w:r>
          </w:p>
        </w:tc>
        <w:tc>
          <w:tcPr>
            <w:tcW w:w="4182" w:type="dxa"/>
            <w:vAlign w:val="center"/>
          </w:tcPr>
          <w:p>
            <w:pPr>
              <w:spacing w:line="320" w:lineRule="exact"/>
              <w:rPr>
                <w:rFonts w:ascii="楷体_GB2312" w:hAnsi="楷体_GB2312" w:eastAsia="楷体_GB2312" w:cs="楷体_GB2312"/>
                <w:color w:val="auto"/>
                <w:szCs w:val="21"/>
              </w:rPr>
            </w:pPr>
            <w:r>
              <w:rPr>
                <w:rFonts w:hint="eastAsia" w:ascii="楷体_GB2312" w:hAnsi="楷体_GB2312" w:eastAsia="楷体_GB2312" w:cs="楷体_GB2312"/>
                <w:color w:val="auto"/>
                <w:szCs w:val="21"/>
              </w:rPr>
              <w:t>①加大省级创业学院建设力度，加强创新创业教育内涵建设和平台支撑，不断提升创新创业教育水平。</w:t>
            </w:r>
          </w:p>
          <w:p>
            <w:pPr>
              <w:spacing w:line="320" w:lineRule="exact"/>
              <w:rPr>
                <w:rFonts w:ascii="楷体_GB2312" w:hAnsi="楷体_GB2312" w:eastAsia="楷体_GB2312" w:cs="楷体_GB2312"/>
                <w:color w:val="auto"/>
                <w:szCs w:val="21"/>
              </w:rPr>
            </w:pPr>
            <w:r>
              <w:rPr>
                <w:rFonts w:hint="eastAsia" w:ascii="楷体_GB2312" w:hAnsi="楷体_GB2312" w:eastAsia="楷体_GB2312" w:cs="楷体_GB2312"/>
                <w:color w:val="auto"/>
                <w:szCs w:val="21"/>
              </w:rPr>
              <w:t>②鼓励和支持学生积极参加各类学科技能竞赛和创新创业比赛及各类社会实践志愿服务活动，大学生创新创业项目数、学科技能竞赛获奖数、发明专利数等比去年增加。</w:t>
            </w:r>
          </w:p>
        </w:tc>
        <w:tc>
          <w:tcPr>
            <w:tcW w:w="4708" w:type="dxa"/>
            <w:vAlign w:val="center"/>
          </w:tcPr>
          <w:p>
            <w:pPr>
              <w:spacing w:line="320" w:lineRule="exact"/>
              <w:jc w:val="center"/>
              <w:rPr>
                <w:rFonts w:ascii="宋体" w:cs="宋体"/>
                <w:color w:val="auto"/>
                <w:szCs w:val="21"/>
              </w:rPr>
            </w:pPr>
          </w:p>
        </w:tc>
        <w:tc>
          <w:tcPr>
            <w:tcW w:w="1395" w:type="dxa"/>
            <w:vAlign w:val="center"/>
          </w:tcPr>
          <w:p>
            <w:pPr>
              <w:spacing w:line="320" w:lineRule="exact"/>
              <w:jc w:val="center"/>
              <w:rPr>
                <w:rFonts w:ascii="宋体" w:cs="宋体"/>
                <w:color w:val="auto"/>
                <w:szCs w:val="21"/>
              </w:rPr>
            </w:pPr>
          </w:p>
        </w:tc>
        <w:tc>
          <w:tcPr>
            <w:tcW w:w="1110" w:type="dxa"/>
            <w:vAlign w:val="center"/>
          </w:tcPr>
          <w:p>
            <w:pPr>
              <w:spacing w:line="320" w:lineRule="exact"/>
              <w:jc w:val="center"/>
              <w:rPr>
                <w:color w:val="auto"/>
                <w:sz w:val="18"/>
                <w:szCs w:val="18"/>
                <w:u w:val="none"/>
              </w:rPr>
            </w:pPr>
            <w:r>
              <w:rPr>
                <w:rFonts w:hint="eastAsia"/>
                <w:color w:val="auto"/>
                <w:sz w:val="18"/>
                <w:szCs w:val="18"/>
                <w:u w:val="single"/>
              </w:rPr>
              <w:t>教</w:t>
            </w:r>
            <w:r>
              <w:rPr>
                <w:rFonts w:hint="eastAsia"/>
                <w:color w:val="auto"/>
                <w:sz w:val="18"/>
                <w:szCs w:val="18"/>
                <w:u w:val="none"/>
              </w:rPr>
              <w:t>务处</w:t>
            </w:r>
          </w:p>
          <w:p>
            <w:pPr>
              <w:spacing w:line="320" w:lineRule="exact"/>
              <w:jc w:val="center"/>
              <w:rPr>
                <w:color w:val="auto"/>
                <w:sz w:val="18"/>
                <w:szCs w:val="18"/>
                <w:u w:val="none"/>
              </w:rPr>
            </w:pPr>
            <w:r>
              <w:rPr>
                <w:rFonts w:hint="eastAsia"/>
                <w:color w:val="auto"/>
                <w:sz w:val="18"/>
                <w:szCs w:val="18"/>
                <w:u w:val="none"/>
              </w:rPr>
              <w:t>团</w:t>
            </w:r>
            <w:r>
              <w:rPr>
                <w:color w:val="auto"/>
                <w:sz w:val="18"/>
                <w:szCs w:val="18"/>
                <w:u w:val="none"/>
              </w:rPr>
              <w:t xml:space="preserve">  </w:t>
            </w:r>
            <w:r>
              <w:rPr>
                <w:rFonts w:hint="eastAsia"/>
                <w:color w:val="auto"/>
                <w:sz w:val="18"/>
                <w:szCs w:val="18"/>
                <w:u w:val="none"/>
              </w:rPr>
              <w:t>委</w:t>
            </w:r>
          </w:p>
          <w:p>
            <w:pPr>
              <w:spacing w:line="320" w:lineRule="exact"/>
              <w:jc w:val="center"/>
              <w:rPr>
                <w:color w:val="auto"/>
                <w:sz w:val="18"/>
                <w:szCs w:val="18"/>
              </w:rPr>
            </w:pPr>
            <w:r>
              <w:rPr>
                <w:rFonts w:hint="eastAsia"/>
                <w:color w:val="auto"/>
                <w:sz w:val="18"/>
                <w:szCs w:val="18"/>
                <w:u w:val="none"/>
              </w:rPr>
              <w:t>招生就业处</w:t>
            </w:r>
          </w:p>
        </w:tc>
        <w:tc>
          <w:tcPr>
            <w:tcW w:w="1122" w:type="dxa"/>
            <w:vAlign w:val="center"/>
          </w:tcPr>
          <w:p>
            <w:pPr>
              <w:spacing w:line="320" w:lineRule="exact"/>
              <w:jc w:val="center"/>
              <w:rPr>
                <w:color w:val="auto"/>
                <w:sz w:val="18"/>
                <w:szCs w:val="18"/>
              </w:rPr>
            </w:pPr>
            <w:r>
              <w:rPr>
                <w:rFonts w:hint="eastAsia"/>
                <w:color w:val="auto"/>
                <w:sz w:val="18"/>
                <w:szCs w:val="18"/>
              </w:rPr>
              <w:t>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1608" w:type="dxa"/>
            <w:vAlign w:val="center"/>
          </w:tcPr>
          <w:p>
            <w:pPr>
              <w:spacing w:line="320" w:lineRule="exact"/>
              <w:jc w:val="left"/>
              <w:rPr>
                <w:rStyle w:val="6"/>
                <w:rFonts w:ascii="楷体_GB2312" w:hAnsi="楷体_GB2312" w:eastAsia="楷体_GB2312" w:cs="楷体_GB2312"/>
                <w:color w:val="auto"/>
                <w:szCs w:val="21"/>
              </w:rPr>
            </w:pPr>
            <w:r>
              <w:rPr>
                <w:rFonts w:ascii="楷体_GB2312" w:hAnsi="楷体_GB2312" w:eastAsia="楷体_GB2312" w:cs="楷体_GB2312"/>
                <w:b/>
                <w:bCs/>
                <w:color w:val="auto"/>
                <w:szCs w:val="21"/>
              </w:rPr>
              <w:t>14.</w:t>
            </w:r>
            <w:r>
              <w:rPr>
                <w:rFonts w:hint="eastAsia" w:ascii="楷体_GB2312" w:hAnsi="楷体_GB2312" w:eastAsia="楷体_GB2312" w:cs="楷体_GB2312"/>
                <w:b/>
                <w:bCs/>
                <w:color w:val="auto"/>
                <w:szCs w:val="21"/>
              </w:rPr>
              <w:t>加强教学组织建设。</w:t>
            </w:r>
          </w:p>
        </w:tc>
        <w:tc>
          <w:tcPr>
            <w:tcW w:w="4182" w:type="dxa"/>
            <w:vAlign w:val="center"/>
          </w:tcPr>
          <w:p>
            <w:pPr>
              <w:widowControl/>
              <w:spacing w:line="320" w:lineRule="exact"/>
              <w:rPr>
                <w:rFonts w:ascii="楷体_GB2312" w:hAnsi="楷体_GB2312" w:eastAsia="楷体_GB2312" w:cs="楷体_GB2312"/>
                <w:color w:val="auto"/>
                <w:szCs w:val="21"/>
              </w:rPr>
            </w:pPr>
            <w:r>
              <w:rPr>
                <w:rFonts w:hint="eastAsia" w:ascii="楷体_GB2312" w:hAnsi="楷体_GB2312" w:eastAsia="楷体_GB2312" w:cs="楷体_GB2312"/>
                <w:color w:val="auto"/>
                <w:szCs w:val="21"/>
              </w:rPr>
              <w:t>评选“十佳教研室”“十佳创新创业平台”和“教师教学能力提升活动”先进单位。</w:t>
            </w:r>
          </w:p>
        </w:tc>
        <w:tc>
          <w:tcPr>
            <w:tcW w:w="4708" w:type="dxa"/>
            <w:vAlign w:val="center"/>
          </w:tcPr>
          <w:p>
            <w:pPr>
              <w:widowControl/>
              <w:spacing w:line="320" w:lineRule="exact"/>
              <w:jc w:val="center"/>
              <w:rPr>
                <w:rFonts w:ascii="宋体" w:cs="宋体"/>
                <w:color w:val="auto"/>
                <w:szCs w:val="21"/>
              </w:rPr>
            </w:pPr>
          </w:p>
        </w:tc>
        <w:tc>
          <w:tcPr>
            <w:tcW w:w="1395" w:type="dxa"/>
            <w:vAlign w:val="center"/>
          </w:tcPr>
          <w:p>
            <w:pPr>
              <w:widowControl/>
              <w:spacing w:line="320" w:lineRule="exact"/>
              <w:jc w:val="center"/>
              <w:rPr>
                <w:rFonts w:ascii="宋体" w:cs="宋体"/>
                <w:color w:val="auto"/>
                <w:szCs w:val="21"/>
              </w:rPr>
            </w:pPr>
          </w:p>
        </w:tc>
        <w:tc>
          <w:tcPr>
            <w:tcW w:w="1110" w:type="dxa"/>
            <w:vAlign w:val="center"/>
          </w:tcPr>
          <w:p>
            <w:pPr>
              <w:spacing w:line="320" w:lineRule="exact"/>
              <w:jc w:val="center"/>
              <w:rPr>
                <w:color w:val="auto"/>
                <w:sz w:val="18"/>
                <w:szCs w:val="18"/>
              </w:rPr>
            </w:pPr>
            <w:r>
              <w:rPr>
                <w:rFonts w:hint="eastAsia"/>
                <w:color w:val="auto"/>
                <w:sz w:val="18"/>
                <w:szCs w:val="18"/>
              </w:rPr>
              <w:t>教务处</w:t>
            </w:r>
          </w:p>
        </w:tc>
        <w:tc>
          <w:tcPr>
            <w:tcW w:w="1122" w:type="dxa"/>
            <w:vAlign w:val="center"/>
          </w:tcPr>
          <w:p>
            <w:pPr>
              <w:spacing w:line="320" w:lineRule="exact"/>
              <w:jc w:val="center"/>
              <w:rPr>
                <w:color w:val="auto"/>
                <w:sz w:val="18"/>
                <w:szCs w:val="18"/>
              </w:rPr>
            </w:pPr>
            <w:r>
              <w:rPr>
                <w:rFonts w:hint="eastAsia"/>
                <w:color w:val="auto"/>
                <w:sz w:val="18"/>
                <w:szCs w:val="18"/>
              </w:rPr>
              <w:t>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jc w:val="center"/>
        </w:trPr>
        <w:tc>
          <w:tcPr>
            <w:tcW w:w="1608" w:type="dxa"/>
            <w:vAlign w:val="center"/>
          </w:tcPr>
          <w:p>
            <w:pPr>
              <w:spacing w:line="320" w:lineRule="exact"/>
              <w:jc w:val="left"/>
              <w:rPr>
                <w:rStyle w:val="6"/>
                <w:rFonts w:ascii="楷体_GB2312" w:hAnsi="楷体_GB2312" w:eastAsia="楷体_GB2312" w:cs="楷体_GB2312"/>
                <w:color w:val="auto"/>
                <w:szCs w:val="21"/>
              </w:rPr>
            </w:pPr>
            <w:r>
              <w:rPr>
                <w:rFonts w:ascii="楷体_GB2312" w:hAnsi="楷体_GB2312" w:eastAsia="楷体_GB2312" w:cs="楷体_GB2312"/>
                <w:b/>
                <w:bCs/>
                <w:color w:val="auto"/>
                <w:szCs w:val="21"/>
              </w:rPr>
              <w:t>15.</w:t>
            </w:r>
            <w:r>
              <w:rPr>
                <w:rFonts w:hint="eastAsia" w:ascii="楷体_GB2312" w:hAnsi="楷体_GB2312" w:eastAsia="楷体_GB2312" w:cs="楷体_GB2312"/>
                <w:b/>
                <w:bCs/>
                <w:color w:val="auto"/>
                <w:szCs w:val="21"/>
              </w:rPr>
              <w:t>做好招生和就业</w:t>
            </w:r>
            <w:r>
              <w:rPr>
                <w:rFonts w:hint="eastAsia" w:ascii="楷体_GB2312" w:hAnsi="楷体_GB2312" w:eastAsia="楷体_GB2312" w:cs="楷体_GB2312"/>
                <w:b/>
                <w:bCs/>
                <w:color w:val="auto"/>
                <w:szCs w:val="21"/>
                <w:lang w:eastAsia="zh-CN"/>
              </w:rPr>
              <w:t>创业</w:t>
            </w:r>
            <w:r>
              <w:rPr>
                <w:rFonts w:hint="eastAsia" w:ascii="楷体_GB2312" w:hAnsi="楷体_GB2312" w:eastAsia="楷体_GB2312" w:cs="楷体_GB2312"/>
                <w:b/>
                <w:bCs/>
                <w:color w:val="auto"/>
                <w:szCs w:val="21"/>
              </w:rPr>
              <w:t>工作。</w:t>
            </w:r>
          </w:p>
        </w:tc>
        <w:tc>
          <w:tcPr>
            <w:tcW w:w="4182" w:type="dxa"/>
            <w:vAlign w:val="center"/>
          </w:tcPr>
          <w:p>
            <w:pPr>
              <w:widowControl/>
              <w:spacing w:line="320" w:lineRule="exact"/>
              <w:rPr>
                <w:rFonts w:ascii="楷体_GB2312" w:hAnsi="楷体_GB2312" w:eastAsia="楷体_GB2312" w:cs="楷体_GB2312"/>
                <w:color w:val="auto"/>
                <w:szCs w:val="21"/>
              </w:rPr>
            </w:pPr>
            <w:r>
              <w:rPr>
                <w:rFonts w:hint="eastAsia" w:ascii="楷体_GB2312" w:hAnsi="楷体_GB2312" w:eastAsia="楷体_GB2312" w:cs="楷体_GB2312"/>
                <w:color w:val="auto"/>
                <w:szCs w:val="21"/>
              </w:rPr>
              <w:t>①改进招生宣传工作，吸引更多优质生源。</w:t>
            </w:r>
          </w:p>
          <w:p>
            <w:pPr>
              <w:widowControl/>
              <w:spacing w:line="320" w:lineRule="exact"/>
              <w:rPr>
                <w:rFonts w:ascii="楷体_GB2312" w:hAnsi="楷体_GB2312" w:eastAsia="楷体_GB2312" w:cs="楷体_GB2312"/>
                <w:color w:val="auto"/>
                <w:szCs w:val="21"/>
              </w:rPr>
            </w:pPr>
            <w:r>
              <w:rPr>
                <w:rFonts w:hint="eastAsia" w:ascii="楷体_GB2312" w:hAnsi="楷体_GB2312" w:eastAsia="楷体_GB2312" w:cs="楷体_GB2312"/>
                <w:color w:val="auto"/>
                <w:szCs w:val="21"/>
              </w:rPr>
              <w:t>②开展“毕业生就业质量提升年”活动，加强精准化就业创业指导与服务，进一步提升毕业生就业能力、质量和满意度。</w:t>
            </w:r>
          </w:p>
        </w:tc>
        <w:tc>
          <w:tcPr>
            <w:tcW w:w="4708" w:type="dxa"/>
            <w:vAlign w:val="center"/>
          </w:tcPr>
          <w:p>
            <w:pPr>
              <w:spacing w:line="320" w:lineRule="exact"/>
              <w:jc w:val="center"/>
              <w:rPr>
                <w:rFonts w:ascii="宋体" w:cs="宋体"/>
                <w:color w:val="auto"/>
                <w:szCs w:val="21"/>
              </w:rPr>
            </w:pPr>
          </w:p>
        </w:tc>
        <w:tc>
          <w:tcPr>
            <w:tcW w:w="1395" w:type="dxa"/>
            <w:vAlign w:val="center"/>
          </w:tcPr>
          <w:p>
            <w:pPr>
              <w:spacing w:line="320" w:lineRule="exact"/>
              <w:jc w:val="center"/>
              <w:rPr>
                <w:rFonts w:ascii="宋体" w:cs="宋体"/>
                <w:color w:val="auto"/>
                <w:szCs w:val="21"/>
              </w:rPr>
            </w:pPr>
          </w:p>
        </w:tc>
        <w:tc>
          <w:tcPr>
            <w:tcW w:w="1110" w:type="dxa"/>
            <w:vAlign w:val="center"/>
          </w:tcPr>
          <w:p>
            <w:pPr>
              <w:spacing w:line="320" w:lineRule="exact"/>
              <w:jc w:val="center"/>
              <w:rPr>
                <w:color w:val="auto"/>
                <w:sz w:val="18"/>
                <w:szCs w:val="18"/>
              </w:rPr>
            </w:pPr>
            <w:r>
              <w:rPr>
                <w:rFonts w:hint="eastAsia"/>
                <w:color w:val="auto"/>
                <w:sz w:val="18"/>
                <w:szCs w:val="18"/>
              </w:rPr>
              <w:t>招生就业处</w:t>
            </w:r>
          </w:p>
        </w:tc>
        <w:tc>
          <w:tcPr>
            <w:tcW w:w="1122" w:type="dxa"/>
            <w:vAlign w:val="center"/>
          </w:tcPr>
          <w:p>
            <w:pPr>
              <w:spacing w:line="320" w:lineRule="exact"/>
              <w:jc w:val="center"/>
              <w:rPr>
                <w:color w:val="auto"/>
                <w:sz w:val="18"/>
                <w:szCs w:val="18"/>
              </w:rPr>
            </w:pPr>
            <w:r>
              <w:rPr>
                <w:rFonts w:hint="eastAsia"/>
                <w:color w:val="auto"/>
                <w:sz w:val="18"/>
                <w:szCs w:val="18"/>
              </w:rPr>
              <w:t>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85" w:hRule="atLeast"/>
          <w:jc w:val="center"/>
        </w:trPr>
        <w:tc>
          <w:tcPr>
            <w:tcW w:w="1608" w:type="dxa"/>
            <w:vAlign w:val="center"/>
          </w:tcPr>
          <w:p>
            <w:pPr>
              <w:spacing w:line="320" w:lineRule="exact"/>
              <w:jc w:val="left"/>
              <w:rPr>
                <w:rStyle w:val="6"/>
                <w:rFonts w:ascii="楷体_GB2312" w:hAnsi="楷体_GB2312" w:eastAsia="楷体_GB2312" w:cs="楷体_GB2312"/>
                <w:color w:val="auto"/>
                <w:szCs w:val="21"/>
              </w:rPr>
            </w:pPr>
            <w:r>
              <w:rPr>
                <w:rFonts w:ascii="楷体_GB2312" w:hAnsi="楷体_GB2312" w:eastAsia="楷体_GB2312" w:cs="楷体_GB2312"/>
                <w:b/>
                <w:bCs/>
                <w:color w:val="auto"/>
                <w:szCs w:val="21"/>
              </w:rPr>
              <w:t>16.</w:t>
            </w:r>
            <w:r>
              <w:rPr>
                <w:rFonts w:hint="eastAsia" w:ascii="楷体_GB2312" w:hAnsi="楷体_GB2312" w:eastAsia="楷体_GB2312" w:cs="楷体_GB2312"/>
                <w:b/>
                <w:bCs/>
                <w:color w:val="auto"/>
                <w:szCs w:val="21"/>
              </w:rPr>
              <w:t>加强学生教育管理和服务。</w:t>
            </w:r>
          </w:p>
        </w:tc>
        <w:tc>
          <w:tcPr>
            <w:tcW w:w="4182" w:type="dxa"/>
            <w:vAlign w:val="center"/>
          </w:tcPr>
          <w:p>
            <w:pPr>
              <w:spacing w:line="320" w:lineRule="exact"/>
              <w:rPr>
                <w:rFonts w:ascii="楷体_GB2312" w:hAnsi="楷体_GB2312" w:eastAsia="楷体_GB2312" w:cs="楷体_GB2312"/>
                <w:color w:val="auto"/>
                <w:szCs w:val="21"/>
              </w:rPr>
            </w:pPr>
            <w:r>
              <w:rPr>
                <w:rFonts w:hint="eastAsia" w:ascii="楷体_GB2312" w:hAnsi="楷体_GB2312" w:eastAsia="楷体_GB2312" w:cs="楷体_GB2312"/>
                <w:color w:val="auto"/>
                <w:szCs w:val="21"/>
              </w:rPr>
              <w:t>①开展“学风建设提升年”活动，强化课堂纪律督导，落实</w:t>
            </w:r>
            <w:r>
              <w:rPr>
                <w:rFonts w:hint="eastAsia" w:ascii="楷体_GB2312" w:hAnsi="楷体_GB2312" w:eastAsia="楷体_GB2312" w:cs="楷体_GB2312"/>
                <w:color w:val="auto"/>
                <w:szCs w:val="21"/>
                <w:lang w:eastAsia="zh-CN"/>
              </w:rPr>
              <w:t>学业</w:t>
            </w:r>
            <w:r>
              <w:rPr>
                <w:rFonts w:hint="eastAsia" w:ascii="楷体_GB2312" w:hAnsi="楷体_GB2312" w:eastAsia="楷体_GB2312" w:cs="楷体_GB2312"/>
                <w:color w:val="auto"/>
                <w:szCs w:val="21"/>
              </w:rPr>
              <w:t>预警制度。</w:t>
            </w:r>
          </w:p>
          <w:p>
            <w:pPr>
              <w:spacing w:line="320" w:lineRule="exact"/>
              <w:rPr>
                <w:rFonts w:ascii="楷体_GB2312" w:hAnsi="楷体_GB2312" w:eastAsia="楷体_GB2312" w:cs="楷体_GB2312"/>
                <w:color w:val="auto"/>
                <w:szCs w:val="21"/>
              </w:rPr>
            </w:pPr>
            <w:r>
              <w:rPr>
                <w:rFonts w:hint="eastAsia" w:ascii="楷体_GB2312" w:hAnsi="楷体_GB2312" w:eastAsia="楷体_GB2312" w:cs="楷体_GB2312"/>
                <w:color w:val="auto"/>
                <w:szCs w:val="21"/>
              </w:rPr>
              <w:t>②建设心理健康教育示范中心，开展心理健康教育、咨询和危机干预活动。</w:t>
            </w:r>
          </w:p>
        </w:tc>
        <w:tc>
          <w:tcPr>
            <w:tcW w:w="4708" w:type="dxa"/>
            <w:vAlign w:val="center"/>
          </w:tcPr>
          <w:p>
            <w:pPr>
              <w:spacing w:line="320" w:lineRule="exact"/>
              <w:jc w:val="center"/>
              <w:rPr>
                <w:rFonts w:ascii="宋体" w:cs="宋体"/>
                <w:color w:val="auto"/>
                <w:szCs w:val="21"/>
              </w:rPr>
            </w:pPr>
          </w:p>
        </w:tc>
        <w:tc>
          <w:tcPr>
            <w:tcW w:w="1395" w:type="dxa"/>
            <w:vAlign w:val="center"/>
          </w:tcPr>
          <w:p>
            <w:pPr>
              <w:spacing w:line="320" w:lineRule="exact"/>
              <w:jc w:val="center"/>
              <w:rPr>
                <w:rFonts w:ascii="宋体" w:cs="宋体"/>
                <w:color w:val="auto"/>
                <w:szCs w:val="21"/>
              </w:rPr>
            </w:pPr>
          </w:p>
        </w:tc>
        <w:tc>
          <w:tcPr>
            <w:tcW w:w="1110" w:type="dxa"/>
            <w:vAlign w:val="center"/>
          </w:tcPr>
          <w:p>
            <w:pPr>
              <w:spacing w:line="320" w:lineRule="exact"/>
              <w:jc w:val="center"/>
              <w:rPr>
                <w:color w:val="auto"/>
                <w:sz w:val="18"/>
                <w:szCs w:val="18"/>
              </w:rPr>
            </w:pPr>
            <w:r>
              <w:rPr>
                <w:rFonts w:hint="eastAsia"/>
                <w:color w:val="auto"/>
                <w:sz w:val="18"/>
                <w:szCs w:val="18"/>
              </w:rPr>
              <w:t>学工部（学生处）</w:t>
            </w:r>
          </w:p>
          <w:p>
            <w:pPr>
              <w:spacing w:line="320" w:lineRule="exact"/>
              <w:jc w:val="center"/>
              <w:rPr>
                <w:color w:val="auto"/>
                <w:sz w:val="18"/>
                <w:szCs w:val="18"/>
              </w:rPr>
            </w:pPr>
            <w:r>
              <w:rPr>
                <w:rFonts w:hint="eastAsia"/>
                <w:color w:val="auto"/>
                <w:sz w:val="18"/>
                <w:szCs w:val="18"/>
              </w:rPr>
              <w:t>教务处</w:t>
            </w:r>
          </w:p>
        </w:tc>
        <w:tc>
          <w:tcPr>
            <w:tcW w:w="1122" w:type="dxa"/>
            <w:vAlign w:val="center"/>
          </w:tcPr>
          <w:p>
            <w:pPr>
              <w:spacing w:line="320" w:lineRule="exact"/>
              <w:jc w:val="center"/>
              <w:rPr>
                <w:color w:val="auto"/>
                <w:sz w:val="18"/>
                <w:szCs w:val="18"/>
              </w:rPr>
            </w:pPr>
            <w:r>
              <w:rPr>
                <w:rFonts w:hint="eastAsia"/>
                <w:color w:val="auto"/>
                <w:sz w:val="18"/>
                <w:szCs w:val="18"/>
              </w:rPr>
              <w:t>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5" w:hRule="atLeast"/>
          <w:jc w:val="center"/>
        </w:trPr>
        <w:tc>
          <w:tcPr>
            <w:tcW w:w="1608" w:type="dxa"/>
            <w:vAlign w:val="center"/>
          </w:tcPr>
          <w:p>
            <w:pPr>
              <w:spacing w:line="320" w:lineRule="exact"/>
              <w:jc w:val="left"/>
              <w:rPr>
                <w:rStyle w:val="6"/>
                <w:rFonts w:ascii="楷体_GB2312" w:hAnsi="楷体_GB2312" w:eastAsia="楷体_GB2312" w:cs="楷体_GB2312"/>
                <w:color w:val="auto"/>
                <w:szCs w:val="21"/>
              </w:rPr>
            </w:pPr>
            <w:r>
              <w:rPr>
                <w:rFonts w:ascii="楷体_GB2312" w:hAnsi="楷体_GB2312" w:eastAsia="楷体_GB2312" w:cs="楷体_GB2312"/>
                <w:b/>
                <w:bCs/>
                <w:color w:val="auto"/>
                <w:szCs w:val="21"/>
              </w:rPr>
              <w:t>17.</w:t>
            </w:r>
            <w:r>
              <w:rPr>
                <w:rFonts w:hint="eastAsia" w:ascii="楷体_GB2312" w:hAnsi="楷体_GB2312" w:eastAsia="楷体_GB2312" w:cs="楷体_GB2312"/>
                <w:b/>
                <w:bCs/>
                <w:color w:val="auto"/>
                <w:szCs w:val="21"/>
              </w:rPr>
              <w:t>加强科研平台建设。</w:t>
            </w:r>
          </w:p>
        </w:tc>
        <w:tc>
          <w:tcPr>
            <w:tcW w:w="4182" w:type="dxa"/>
            <w:vAlign w:val="center"/>
          </w:tcPr>
          <w:p>
            <w:pPr>
              <w:spacing w:line="320" w:lineRule="exact"/>
              <w:rPr>
                <w:rFonts w:ascii="楷体_GB2312" w:hAnsi="楷体_GB2312" w:eastAsia="楷体_GB2312" w:cs="楷体_GB2312"/>
                <w:color w:val="auto"/>
                <w:szCs w:val="21"/>
              </w:rPr>
            </w:pPr>
            <w:r>
              <w:rPr>
                <w:rFonts w:hint="eastAsia" w:ascii="楷体_GB2312" w:hAnsi="楷体_GB2312" w:eastAsia="楷体_GB2312" w:cs="楷体_GB2312"/>
                <w:color w:val="auto"/>
                <w:szCs w:val="21"/>
              </w:rPr>
              <w:t>①推进现有科研平台建设，遴选</w:t>
            </w:r>
            <w:r>
              <w:rPr>
                <w:rFonts w:ascii="楷体_GB2312" w:hAnsi="楷体_GB2312" w:eastAsia="楷体_GB2312" w:cs="楷体_GB2312"/>
                <w:color w:val="auto"/>
                <w:szCs w:val="21"/>
              </w:rPr>
              <w:t>2-4</w:t>
            </w:r>
            <w:r>
              <w:rPr>
                <w:rFonts w:hint="eastAsia" w:ascii="楷体_GB2312" w:hAnsi="楷体_GB2312" w:eastAsia="楷体_GB2312" w:cs="楷体_GB2312"/>
                <w:color w:val="auto"/>
                <w:szCs w:val="21"/>
              </w:rPr>
              <w:t>个校级科研平台、</w:t>
            </w:r>
            <w:r>
              <w:rPr>
                <w:rFonts w:ascii="楷体_GB2312" w:hAnsi="楷体_GB2312" w:eastAsia="楷体_GB2312" w:cs="楷体_GB2312"/>
                <w:color w:val="auto"/>
                <w:szCs w:val="21"/>
              </w:rPr>
              <w:t>2-4</w:t>
            </w:r>
            <w:r>
              <w:rPr>
                <w:rFonts w:hint="eastAsia" w:ascii="楷体_GB2312" w:hAnsi="楷体_GB2312" w:eastAsia="楷体_GB2312" w:cs="楷体_GB2312"/>
                <w:color w:val="auto"/>
                <w:szCs w:val="21"/>
              </w:rPr>
              <w:t>个校级创新团队，力争获批</w:t>
            </w:r>
            <w:r>
              <w:rPr>
                <w:rFonts w:ascii="楷体_GB2312" w:hAnsi="楷体_GB2312" w:eastAsia="楷体_GB2312" w:cs="楷体_GB2312"/>
                <w:color w:val="auto"/>
                <w:szCs w:val="21"/>
              </w:rPr>
              <w:t>1-2</w:t>
            </w:r>
            <w:r>
              <w:rPr>
                <w:rFonts w:hint="eastAsia" w:ascii="楷体_GB2312" w:hAnsi="楷体_GB2312" w:eastAsia="楷体_GB2312" w:cs="楷体_GB2312"/>
                <w:color w:val="auto"/>
                <w:szCs w:val="21"/>
              </w:rPr>
              <w:t>个省级科研平台。</w:t>
            </w:r>
          </w:p>
          <w:p>
            <w:pPr>
              <w:spacing w:line="320" w:lineRule="exact"/>
              <w:rPr>
                <w:rFonts w:ascii="楷体_GB2312" w:hAnsi="楷体_GB2312" w:eastAsia="楷体_GB2312" w:cs="楷体_GB2312"/>
                <w:color w:val="auto"/>
                <w:szCs w:val="21"/>
              </w:rPr>
            </w:pPr>
            <w:r>
              <w:rPr>
                <w:rFonts w:hint="eastAsia" w:ascii="楷体_GB2312" w:hAnsi="楷体_GB2312" w:eastAsia="楷体_GB2312" w:cs="楷体_GB2312"/>
                <w:color w:val="auto"/>
                <w:szCs w:val="21"/>
              </w:rPr>
              <w:t>②将科研成果向教学转化，为人才培养提供有效支撑。</w:t>
            </w:r>
          </w:p>
        </w:tc>
        <w:tc>
          <w:tcPr>
            <w:tcW w:w="4708" w:type="dxa"/>
            <w:vMerge w:val="restart"/>
            <w:vAlign w:val="center"/>
          </w:tcPr>
          <w:p>
            <w:pPr>
              <w:spacing w:line="320" w:lineRule="exact"/>
              <w:jc w:val="center"/>
              <w:rPr>
                <w:rFonts w:ascii="宋体" w:cs="宋体"/>
                <w:color w:val="auto"/>
                <w:szCs w:val="21"/>
              </w:rPr>
            </w:pPr>
          </w:p>
        </w:tc>
        <w:tc>
          <w:tcPr>
            <w:tcW w:w="1395" w:type="dxa"/>
            <w:vAlign w:val="center"/>
          </w:tcPr>
          <w:p>
            <w:pPr>
              <w:spacing w:line="320" w:lineRule="exact"/>
              <w:jc w:val="center"/>
              <w:rPr>
                <w:rFonts w:ascii="宋体" w:cs="宋体"/>
                <w:color w:val="auto"/>
                <w:szCs w:val="21"/>
              </w:rPr>
            </w:pPr>
          </w:p>
        </w:tc>
        <w:tc>
          <w:tcPr>
            <w:tcW w:w="1110" w:type="dxa"/>
            <w:vAlign w:val="center"/>
          </w:tcPr>
          <w:p>
            <w:pPr>
              <w:spacing w:line="320" w:lineRule="exact"/>
              <w:jc w:val="center"/>
              <w:rPr>
                <w:color w:val="auto"/>
                <w:sz w:val="18"/>
                <w:szCs w:val="18"/>
              </w:rPr>
            </w:pPr>
            <w:r>
              <w:rPr>
                <w:rFonts w:hint="eastAsia"/>
                <w:color w:val="auto"/>
                <w:sz w:val="18"/>
                <w:szCs w:val="18"/>
              </w:rPr>
              <w:t>科技处</w:t>
            </w:r>
          </w:p>
        </w:tc>
        <w:tc>
          <w:tcPr>
            <w:tcW w:w="1122" w:type="dxa"/>
            <w:vAlign w:val="center"/>
          </w:tcPr>
          <w:p>
            <w:pPr>
              <w:spacing w:line="320" w:lineRule="exact"/>
              <w:jc w:val="center"/>
              <w:rPr>
                <w:color w:val="auto"/>
                <w:sz w:val="18"/>
                <w:szCs w:val="18"/>
              </w:rPr>
            </w:pPr>
            <w:r>
              <w:rPr>
                <w:rFonts w:hint="eastAsia"/>
                <w:color w:val="auto"/>
                <w:sz w:val="18"/>
                <w:szCs w:val="18"/>
              </w:rPr>
              <w:t>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5" w:hRule="atLeast"/>
          <w:jc w:val="center"/>
        </w:trPr>
        <w:tc>
          <w:tcPr>
            <w:tcW w:w="1608" w:type="dxa"/>
            <w:vAlign w:val="center"/>
          </w:tcPr>
          <w:p>
            <w:pPr>
              <w:spacing w:line="320" w:lineRule="exact"/>
              <w:jc w:val="left"/>
              <w:rPr>
                <w:rStyle w:val="6"/>
                <w:rFonts w:ascii="楷体_GB2312" w:hAnsi="楷体_GB2312" w:eastAsia="楷体_GB2312" w:cs="楷体_GB2312"/>
                <w:color w:val="auto"/>
                <w:szCs w:val="21"/>
              </w:rPr>
            </w:pPr>
            <w:r>
              <w:rPr>
                <w:rFonts w:ascii="楷体_GB2312" w:hAnsi="楷体_GB2312" w:eastAsia="楷体_GB2312" w:cs="楷体_GB2312"/>
                <w:b/>
                <w:bCs/>
                <w:color w:val="auto"/>
                <w:szCs w:val="21"/>
              </w:rPr>
              <w:t>18.</w:t>
            </w:r>
            <w:r>
              <w:rPr>
                <w:rFonts w:hint="eastAsia" w:ascii="楷体_GB2312" w:hAnsi="楷体_GB2312" w:eastAsia="楷体_GB2312" w:cs="楷体_GB2312"/>
                <w:b/>
                <w:bCs/>
                <w:color w:val="auto"/>
                <w:szCs w:val="21"/>
              </w:rPr>
              <w:t>提高科研能力</w:t>
            </w:r>
            <w:r>
              <w:rPr>
                <w:rStyle w:val="6"/>
                <w:rFonts w:hint="eastAsia" w:ascii="楷体_GB2312" w:hAnsi="楷体_GB2312" w:eastAsia="楷体_GB2312" w:cs="楷体_GB2312"/>
                <w:color w:val="auto"/>
                <w:szCs w:val="21"/>
              </w:rPr>
              <w:t>。</w:t>
            </w:r>
          </w:p>
        </w:tc>
        <w:tc>
          <w:tcPr>
            <w:tcW w:w="4182" w:type="dxa"/>
            <w:vAlign w:val="center"/>
          </w:tcPr>
          <w:p>
            <w:pPr>
              <w:spacing w:line="320" w:lineRule="exact"/>
              <w:rPr>
                <w:rFonts w:ascii="楷体_GB2312" w:hAnsi="楷体_GB2312" w:eastAsia="楷体_GB2312" w:cs="楷体_GB2312"/>
                <w:color w:val="auto"/>
                <w:szCs w:val="21"/>
              </w:rPr>
            </w:pPr>
            <w:r>
              <w:rPr>
                <w:rFonts w:hint="eastAsia" w:ascii="楷体_GB2312" w:hAnsi="楷体_GB2312" w:eastAsia="楷体_GB2312" w:cs="楷体_GB2312"/>
                <w:color w:val="auto"/>
                <w:szCs w:val="21"/>
              </w:rPr>
              <w:t>①提升科研项目申报数量及层次，力争获批国家级项目</w:t>
            </w:r>
            <w:r>
              <w:rPr>
                <w:rFonts w:ascii="楷体_GB2312" w:hAnsi="楷体_GB2312" w:eastAsia="楷体_GB2312" w:cs="楷体_GB2312"/>
                <w:color w:val="auto"/>
                <w:szCs w:val="21"/>
              </w:rPr>
              <w:t>1-3</w:t>
            </w:r>
            <w:r>
              <w:rPr>
                <w:rFonts w:hint="eastAsia" w:ascii="楷体_GB2312" w:hAnsi="楷体_GB2312" w:eastAsia="楷体_GB2312" w:cs="楷体_GB2312"/>
                <w:color w:val="auto"/>
                <w:szCs w:val="21"/>
              </w:rPr>
              <w:t>项、省厅级项目</w:t>
            </w:r>
            <w:r>
              <w:rPr>
                <w:rFonts w:ascii="楷体_GB2312" w:hAnsi="楷体_GB2312" w:eastAsia="楷体_GB2312" w:cs="楷体_GB2312"/>
                <w:color w:val="auto"/>
                <w:szCs w:val="21"/>
              </w:rPr>
              <w:t>50</w:t>
            </w:r>
            <w:r>
              <w:rPr>
                <w:rFonts w:hint="eastAsia" w:ascii="楷体_GB2312" w:hAnsi="楷体_GB2312" w:eastAsia="楷体_GB2312" w:cs="楷体_GB2312"/>
                <w:color w:val="auto"/>
                <w:szCs w:val="21"/>
              </w:rPr>
              <w:t>项左右、国家授权发明专利</w:t>
            </w:r>
            <w:r>
              <w:rPr>
                <w:rFonts w:ascii="楷体_GB2312" w:hAnsi="楷体_GB2312" w:eastAsia="楷体_GB2312" w:cs="楷体_GB2312"/>
                <w:color w:val="auto"/>
                <w:szCs w:val="21"/>
              </w:rPr>
              <w:t>15</w:t>
            </w:r>
            <w:r>
              <w:rPr>
                <w:rFonts w:hint="eastAsia" w:ascii="楷体_GB2312" w:hAnsi="楷体_GB2312" w:eastAsia="楷体_GB2312" w:cs="楷体_GB2312"/>
                <w:color w:val="auto"/>
                <w:szCs w:val="21"/>
              </w:rPr>
              <w:t>项左右。</w:t>
            </w:r>
          </w:p>
          <w:p>
            <w:pPr>
              <w:spacing w:line="320" w:lineRule="exact"/>
              <w:rPr>
                <w:rFonts w:ascii="楷体_GB2312" w:hAnsi="楷体_GB2312" w:eastAsia="楷体_GB2312" w:cs="楷体_GB2312"/>
                <w:color w:val="auto"/>
                <w:szCs w:val="21"/>
              </w:rPr>
            </w:pPr>
            <w:r>
              <w:rPr>
                <w:rFonts w:hint="eastAsia" w:ascii="楷体_GB2312" w:hAnsi="楷体_GB2312" w:eastAsia="楷体_GB2312" w:cs="楷体_GB2312"/>
                <w:color w:val="auto"/>
                <w:szCs w:val="21"/>
              </w:rPr>
              <w:t>②科研项目数和科研到账经费比上一年度增加。</w:t>
            </w:r>
          </w:p>
        </w:tc>
        <w:tc>
          <w:tcPr>
            <w:tcW w:w="4708" w:type="dxa"/>
            <w:vMerge w:val="continue"/>
            <w:vAlign w:val="center"/>
          </w:tcPr>
          <w:p>
            <w:pPr>
              <w:spacing w:line="320" w:lineRule="exact"/>
              <w:jc w:val="center"/>
              <w:rPr>
                <w:rFonts w:ascii="宋体" w:cs="宋体"/>
                <w:color w:val="auto"/>
                <w:szCs w:val="21"/>
              </w:rPr>
            </w:pPr>
          </w:p>
        </w:tc>
        <w:tc>
          <w:tcPr>
            <w:tcW w:w="1395" w:type="dxa"/>
            <w:vAlign w:val="center"/>
          </w:tcPr>
          <w:p>
            <w:pPr>
              <w:spacing w:line="320" w:lineRule="exact"/>
              <w:jc w:val="center"/>
              <w:rPr>
                <w:rFonts w:ascii="宋体" w:cs="宋体"/>
                <w:color w:val="auto"/>
                <w:szCs w:val="21"/>
              </w:rPr>
            </w:pPr>
          </w:p>
        </w:tc>
        <w:tc>
          <w:tcPr>
            <w:tcW w:w="1110" w:type="dxa"/>
            <w:vAlign w:val="center"/>
          </w:tcPr>
          <w:p>
            <w:pPr>
              <w:spacing w:line="320" w:lineRule="exact"/>
              <w:jc w:val="center"/>
              <w:rPr>
                <w:color w:val="auto"/>
                <w:sz w:val="18"/>
                <w:szCs w:val="18"/>
              </w:rPr>
            </w:pPr>
            <w:r>
              <w:rPr>
                <w:rFonts w:hint="eastAsia"/>
                <w:color w:val="auto"/>
                <w:sz w:val="18"/>
                <w:szCs w:val="18"/>
              </w:rPr>
              <w:t>科技处</w:t>
            </w:r>
          </w:p>
        </w:tc>
        <w:tc>
          <w:tcPr>
            <w:tcW w:w="1122" w:type="dxa"/>
            <w:vAlign w:val="center"/>
          </w:tcPr>
          <w:p>
            <w:pPr>
              <w:spacing w:line="320" w:lineRule="exact"/>
              <w:jc w:val="center"/>
              <w:rPr>
                <w:color w:val="auto"/>
                <w:sz w:val="18"/>
                <w:szCs w:val="18"/>
              </w:rPr>
            </w:pPr>
            <w:r>
              <w:rPr>
                <w:rFonts w:hint="eastAsia"/>
                <w:color w:val="auto"/>
                <w:sz w:val="18"/>
                <w:szCs w:val="18"/>
              </w:rPr>
              <w:t>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608" w:type="dxa"/>
            <w:vMerge w:val="restart"/>
            <w:vAlign w:val="center"/>
          </w:tcPr>
          <w:p>
            <w:pPr>
              <w:spacing w:line="320" w:lineRule="exact"/>
              <w:jc w:val="left"/>
              <w:rPr>
                <w:rStyle w:val="6"/>
                <w:rFonts w:ascii="楷体_GB2312" w:hAnsi="楷体_GB2312" w:eastAsia="楷体_GB2312" w:cs="楷体_GB2312"/>
                <w:color w:val="auto"/>
                <w:szCs w:val="21"/>
              </w:rPr>
            </w:pPr>
            <w:r>
              <w:rPr>
                <w:rFonts w:ascii="楷体_GB2312" w:hAnsi="楷体_GB2312" w:eastAsia="楷体_GB2312" w:cs="楷体_GB2312"/>
                <w:b/>
                <w:bCs/>
                <w:color w:val="auto"/>
                <w:szCs w:val="21"/>
              </w:rPr>
              <w:t>19.</w:t>
            </w:r>
            <w:r>
              <w:rPr>
                <w:rFonts w:hint="eastAsia" w:ascii="楷体_GB2312" w:hAnsi="楷体_GB2312" w:eastAsia="楷体_GB2312" w:cs="楷体_GB2312"/>
                <w:b/>
                <w:bCs/>
                <w:color w:val="auto"/>
                <w:szCs w:val="21"/>
              </w:rPr>
              <w:t>深化产学研合作。</w:t>
            </w:r>
          </w:p>
        </w:tc>
        <w:tc>
          <w:tcPr>
            <w:tcW w:w="4182" w:type="dxa"/>
            <w:vAlign w:val="center"/>
          </w:tcPr>
          <w:p>
            <w:pPr>
              <w:spacing w:line="320" w:lineRule="exact"/>
              <w:rPr>
                <w:rFonts w:ascii="楷体_GB2312" w:hAnsi="楷体_GB2312" w:eastAsia="楷体_GB2312" w:cs="楷体_GB2312"/>
                <w:color w:val="auto"/>
                <w:szCs w:val="21"/>
              </w:rPr>
            </w:pPr>
            <w:r>
              <w:rPr>
                <w:rFonts w:hint="eastAsia" w:ascii="楷体_GB2312" w:hAnsi="楷体_GB2312" w:eastAsia="楷体_GB2312" w:cs="楷体_GB2312"/>
                <w:color w:val="auto"/>
                <w:szCs w:val="21"/>
              </w:rPr>
              <w:t>①大力推进协同创新，积极参与宿州市博士产业园项目建设，推进成果转化，产学研合作项目数、经费和成果转化数比上一年度增加。</w:t>
            </w:r>
          </w:p>
          <w:p>
            <w:pPr>
              <w:spacing w:line="320" w:lineRule="exact"/>
              <w:rPr>
                <w:rFonts w:ascii="楷体_GB2312" w:hAnsi="楷体_GB2312" w:eastAsia="楷体_GB2312" w:cs="楷体_GB2312"/>
                <w:color w:val="auto"/>
                <w:szCs w:val="21"/>
              </w:rPr>
            </w:pPr>
            <w:r>
              <w:rPr>
                <w:rFonts w:hint="eastAsia" w:ascii="楷体_GB2312" w:hAnsi="楷体_GB2312" w:eastAsia="楷体_GB2312" w:cs="楷体_GB2312"/>
                <w:color w:val="auto"/>
                <w:szCs w:val="21"/>
              </w:rPr>
              <w:t>②推进与宿州市共建人才高地，与有关部门合作成立高层次人才创业俱乐部，力争获批省“特支计划”项目。</w:t>
            </w:r>
          </w:p>
        </w:tc>
        <w:tc>
          <w:tcPr>
            <w:tcW w:w="4708" w:type="dxa"/>
            <w:vMerge w:val="continue"/>
            <w:vAlign w:val="center"/>
          </w:tcPr>
          <w:p>
            <w:pPr>
              <w:spacing w:line="320" w:lineRule="exact"/>
              <w:jc w:val="center"/>
              <w:rPr>
                <w:rFonts w:ascii="宋体" w:cs="宋体"/>
                <w:color w:val="auto"/>
                <w:szCs w:val="21"/>
              </w:rPr>
            </w:pPr>
          </w:p>
        </w:tc>
        <w:tc>
          <w:tcPr>
            <w:tcW w:w="1395" w:type="dxa"/>
            <w:vAlign w:val="center"/>
          </w:tcPr>
          <w:p>
            <w:pPr>
              <w:spacing w:line="320" w:lineRule="exact"/>
              <w:jc w:val="center"/>
              <w:rPr>
                <w:rFonts w:ascii="宋体" w:cs="宋体"/>
                <w:color w:val="auto"/>
                <w:szCs w:val="21"/>
              </w:rPr>
            </w:pPr>
          </w:p>
        </w:tc>
        <w:tc>
          <w:tcPr>
            <w:tcW w:w="1110" w:type="dxa"/>
            <w:vAlign w:val="center"/>
          </w:tcPr>
          <w:p>
            <w:pPr>
              <w:spacing w:line="320" w:lineRule="exact"/>
              <w:jc w:val="center"/>
              <w:rPr>
                <w:color w:val="auto"/>
                <w:sz w:val="18"/>
                <w:szCs w:val="18"/>
              </w:rPr>
            </w:pPr>
            <w:r>
              <w:rPr>
                <w:rFonts w:hint="eastAsia"/>
                <w:color w:val="auto"/>
                <w:sz w:val="18"/>
                <w:szCs w:val="18"/>
              </w:rPr>
              <w:t>科技处</w:t>
            </w:r>
          </w:p>
        </w:tc>
        <w:tc>
          <w:tcPr>
            <w:tcW w:w="1122" w:type="dxa"/>
            <w:vAlign w:val="center"/>
          </w:tcPr>
          <w:p>
            <w:pPr>
              <w:spacing w:line="320" w:lineRule="exact"/>
              <w:jc w:val="center"/>
              <w:rPr>
                <w:color w:val="auto"/>
                <w:sz w:val="18"/>
                <w:szCs w:val="18"/>
              </w:rPr>
            </w:pPr>
            <w:r>
              <w:rPr>
                <w:rFonts w:hint="eastAsia"/>
                <w:color w:val="auto"/>
                <w:sz w:val="18"/>
                <w:szCs w:val="18"/>
              </w:rPr>
              <w:t>相关部门、二级学院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5" w:hRule="atLeast"/>
          <w:jc w:val="center"/>
        </w:trPr>
        <w:tc>
          <w:tcPr>
            <w:tcW w:w="1608" w:type="dxa"/>
            <w:vMerge w:val="continue"/>
            <w:vAlign w:val="center"/>
          </w:tcPr>
          <w:p>
            <w:pPr>
              <w:spacing w:line="320" w:lineRule="exact"/>
              <w:jc w:val="left"/>
              <w:rPr>
                <w:rFonts w:ascii="楷体_GB2312" w:hAnsi="楷体_GB2312" w:eastAsia="楷体_GB2312" w:cs="楷体_GB2312"/>
                <w:b/>
                <w:bCs/>
                <w:color w:val="auto"/>
                <w:szCs w:val="21"/>
              </w:rPr>
            </w:pPr>
          </w:p>
        </w:tc>
        <w:tc>
          <w:tcPr>
            <w:tcW w:w="4182" w:type="dxa"/>
            <w:vAlign w:val="center"/>
          </w:tcPr>
          <w:p>
            <w:pPr>
              <w:spacing w:line="320" w:lineRule="exact"/>
              <w:rPr>
                <w:rFonts w:ascii="楷体_GB2312" w:hAnsi="楷体_GB2312" w:eastAsia="楷体_GB2312" w:cs="楷体_GB2312"/>
                <w:color w:val="auto"/>
                <w:szCs w:val="21"/>
              </w:rPr>
            </w:pPr>
            <w:r>
              <w:rPr>
                <w:rFonts w:hint="eastAsia" w:ascii="楷体_GB2312" w:hAnsi="楷体_GB2312" w:eastAsia="楷体_GB2312" w:cs="楷体_GB2312"/>
                <w:color w:val="auto"/>
                <w:szCs w:val="21"/>
              </w:rPr>
              <w:t>③承办第八届安徽省应用型本科高校联盟会议等省级学术会议或活动。</w:t>
            </w:r>
          </w:p>
        </w:tc>
        <w:tc>
          <w:tcPr>
            <w:tcW w:w="4708" w:type="dxa"/>
            <w:vAlign w:val="center"/>
          </w:tcPr>
          <w:p>
            <w:pPr>
              <w:spacing w:line="320" w:lineRule="exact"/>
              <w:jc w:val="center"/>
              <w:rPr>
                <w:rFonts w:ascii="宋体" w:cs="宋体"/>
                <w:color w:val="auto"/>
                <w:szCs w:val="21"/>
              </w:rPr>
            </w:pPr>
          </w:p>
        </w:tc>
        <w:tc>
          <w:tcPr>
            <w:tcW w:w="1395" w:type="dxa"/>
            <w:vAlign w:val="center"/>
          </w:tcPr>
          <w:p>
            <w:pPr>
              <w:spacing w:line="320" w:lineRule="exact"/>
              <w:jc w:val="center"/>
              <w:rPr>
                <w:rFonts w:hint="eastAsia" w:ascii="宋体" w:hAnsi="宋体" w:cs="宋体"/>
                <w:color w:val="auto"/>
                <w:szCs w:val="21"/>
              </w:rPr>
            </w:pPr>
          </w:p>
        </w:tc>
        <w:tc>
          <w:tcPr>
            <w:tcW w:w="1110" w:type="dxa"/>
            <w:vAlign w:val="center"/>
          </w:tcPr>
          <w:p>
            <w:pPr>
              <w:spacing w:line="320" w:lineRule="exact"/>
              <w:jc w:val="center"/>
              <w:rPr>
                <w:color w:val="auto"/>
                <w:sz w:val="18"/>
                <w:szCs w:val="18"/>
              </w:rPr>
            </w:pPr>
            <w:r>
              <w:rPr>
                <w:rFonts w:hint="eastAsia"/>
                <w:color w:val="auto"/>
                <w:sz w:val="18"/>
                <w:szCs w:val="18"/>
              </w:rPr>
              <w:t>教务处等有关部门、二级学院</w:t>
            </w:r>
          </w:p>
        </w:tc>
        <w:tc>
          <w:tcPr>
            <w:tcW w:w="1122" w:type="dxa"/>
            <w:vAlign w:val="center"/>
          </w:tcPr>
          <w:p>
            <w:pPr>
              <w:spacing w:line="320" w:lineRule="exact"/>
              <w:jc w:val="center"/>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5" w:hRule="atLeast"/>
          <w:jc w:val="center"/>
        </w:trPr>
        <w:tc>
          <w:tcPr>
            <w:tcW w:w="1608" w:type="dxa"/>
            <w:vAlign w:val="center"/>
          </w:tcPr>
          <w:p>
            <w:pPr>
              <w:spacing w:line="320" w:lineRule="exact"/>
              <w:jc w:val="left"/>
              <w:rPr>
                <w:rStyle w:val="6"/>
                <w:rFonts w:ascii="楷体_GB2312" w:hAnsi="楷体_GB2312" w:eastAsia="楷体_GB2312" w:cs="楷体_GB2312"/>
                <w:color w:val="auto"/>
                <w:szCs w:val="21"/>
              </w:rPr>
            </w:pPr>
            <w:r>
              <w:rPr>
                <w:rFonts w:ascii="楷体_GB2312" w:hAnsi="楷体_GB2312" w:eastAsia="楷体_GB2312" w:cs="楷体_GB2312"/>
                <w:b/>
                <w:bCs/>
                <w:color w:val="auto"/>
                <w:szCs w:val="21"/>
              </w:rPr>
              <w:t>20.</w:t>
            </w:r>
            <w:r>
              <w:rPr>
                <w:rFonts w:hint="eastAsia" w:ascii="楷体_GB2312" w:hAnsi="楷体_GB2312" w:eastAsia="楷体_GB2312" w:cs="楷体_GB2312"/>
                <w:b/>
                <w:bCs/>
                <w:color w:val="auto"/>
                <w:szCs w:val="21"/>
              </w:rPr>
              <w:t>提升继续教育水平。</w:t>
            </w:r>
          </w:p>
        </w:tc>
        <w:tc>
          <w:tcPr>
            <w:tcW w:w="4182" w:type="dxa"/>
            <w:vAlign w:val="center"/>
          </w:tcPr>
          <w:p>
            <w:pPr>
              <w:spacing w:line="320" w:lineRule="exact"/>
              <w:rPr>
                <w:rFonts w:ascii="楷体_GB2312" w:hAnsi="楷体_GB2312" w:eastAsia="楷体_GB2312" w:cs="楷体_GB2312"/>
                <w:color w:val="auto"/>
                <w:szCs w:val="21"/>
              </w:rPr>
            </w:pPr>
            <w:r>
              <w:rPr>
                <w:rFonts w:hint="eastAsia" w:ascii="楷体_GB2312" w:hAnsi="楷体_GB2312" w:eastAsia="楷体_GB2312" w:cs="楷体_GB2312"/>
                <w:color w:val="auto"/>
                <w:szCs w:val="21"/>
              </w:rPr>
              <w:t>进一步规范继续教育办学行为，稳步发展非学历教育，拓展培训范围，加强与行业、企业等合作，推进社区教育、老年教育等公益性社会教育。运用继续教育在线平台开展远程化教学改革。</w:t>
            </w:r>
          </w:p>
        </w:tc>
        <w:tc>
          <w:tcPr>
            <w:tcW w:w="4708" w:type="dxa"/>
            <w:vAlign w:val="center"/>
          </w:tcPr>
          <w:p>
            <w:pPr>
              <w:spacing w:line="320" w:lineRule="exact"/>
              <w:jc w:val="center"/>
              <w:rPr>
                <w:rFonts w:ascii="宋体" w:cs="宋体"/>
                <w:color w:val="auto"/>
                <w:szCs w:val="21"/>
                <w:lang w:val="zh-CN"/>
              </w:rPr>
            </w:pPr>
          </w:p>
        </w:tc>
        <w:tc>
          <w:tcPr>
            <w:tcW w:w="1395" w:type="dxa"/>
            <w:vAlign w:val="center"/>
          </w:tcPr>
          <w:p>
            <w:pPr>
              <w:spacing w:line="320" w:lineRule="exact"/>
              <w:jc w:val="center"/>
              <w:rPr>
                <w:rFonts w:ascii="宋体" w:cs="宋体"/>
                <w:color w:val="auto"/>
                <w:szCs w:val="21"/>
                <w:lang w:val="zh-CN"/>
              </w:rPr>
            </w:pPr>
          </w:p>
        </w:tc>
        <w:tc>
          <w:tcPr>
            <w:tcW w:w="1110" w:type="dxa"/>
            <w:vAlign w:val="center"/>
          </w:tcPr>
          <w:p>
            <w:pPr>
              <w:spacing w:line="320" w:lineRule="exact"/>
              <w:jc w:val="center"/>
              <w:rPr>
                <w:color w:val="auto"/>
                <w:sz w:val="18"/>
                <w:szCs w:val="18"/>
              </w:rPr>
            </w:pPr>
            <w:r>
              <w:rPr>
                <w:rFonts w:hint="eastAsia"/>
                <w:color w:val="auto"/>
                <w:sz w:val="18"/>
                <w:szCs w:val="18"/>
              </w:rPr>
              <w:t>继续教育学院</w:t>
            </w:r>
          </w:p>
        </w:tc>
        <w:tc>
          <w:tcPr>
            <w:tcW w:w="1122" w:type="dxa"/>
            <w:vAlign w:val="center"/>
          </w:tcPr>
          <w:p>
            <w:pPr>
              <w:spacing w:line="320" w:lineRule="exact"/>
              <w:jc w:val="center"/>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0" w:hRule="atLeast"/>
          <w:jc w:val="center"/>
        </w:trPr>
        <w:tc>
          <w:tcPr>
            <w:tcW w:w="1608" w:type="dxa"/>
            <w:vAlign w:val="center"/>
          </w:tcPr>
          <w:p>
            <w:pPr>
              <w:spacing w:line="320" w:lineRule="exact"/>
              <w:jc w:val="left"/>
              <w:rPr>
                <w:rStyle w:val="6"/>
                <w:rFonts w:ascii="楷体_GB2312" w:hAnsi="楷体_GB2312" w:eastAsia="楷体_GB2312" w:cs="楷体_GB2312"/>
                <w:color w:val="auto"/>
                <w:szCs w:val="21"/>
              </w:rPr>
            </w:pPr>
            <w:r>
              <w:rPr>
                <w:rFonts w:ascii="楷体_GB2312" w:hAnsi="楷体_GB2312" w:eastAsia="楷体_GB2312" w:cs="楷体_GB2312"/>
                <w:b/>
                <w:bCs/>
                <w:color w:val="auto"/>
                <w:szCs w:val="21"/>
                <w:lang w:val="zh-CN"/>
              </w:rPr>
              <w:t>2</w:t>
            </w:r>
            <w:r>
              <w:rPr>
                <w:rFonts w:ascii="楷体_GB2312" w:hAnsi="楷体_GB2312" w:eastAsia="楷体_GB2312" w:cs="楷体_GB2312"/>
                <w:b/>
                <w:bCs/>
                <w:color w:val="auto"/>
                <w:szCs w:val="21"/>
              </w:rPr>
              <w:t>1</w:t>
            </w:r>
            <w:r>
              <w:rPr>
                <w:rFonts w:ascii="楷体_GB2312" w:hAnsi="楷体_GB2312" w:eastAsia="楷体_GB2312" w:cs="楷体_GB2312"/>
                <w:b/>
                <w:bCs/>
                <w:color w:val="auto"/>
                <w:szCs w:val="21"/>
                <w:lang w:val="zh-CN"/>
              </w:rPr>
              <w:t>.</w:t>
            </w:r>
            <w:r>
              <w:rPr>
                <w:rFonts w:hint="eastAsia" w:ascii="楷体_GB2312" w:hAnsi="楷体_GB2312" w:eastAsia="楷体_GB2312" w:cs="楷体_GB2312"/>
                <w:b/>
                <w:bCs/>
                <w:color w:val="auto"/>
                <w:szCs w:val="21"/>
                <w:lang w:val="zh-CN"/>
              </w:rPr>
              <w:t>开放教学科研等资源。</w:t>
            </w:r>
          </w:p>
        </w:tc>
        <w:tc>
          <w:tcPr>
            <w:tcW w:w="4182" w:type="dxa"/>
            <w:vAlign w:val="center"/>
          </w:tcPr>
          <w:p>
            <w:pPr>
              <w:spacing w:line="320" w:lineRule="exact"/>
              <w:rPr>
                <w:rFonts w:ascii="楷体_GB2312" w:hAnsi="楷体_GB2312" w:eastAsia="楷体_GB2312" w:cs="楷体_GB2312"/>
                <w:color w:val="auto"/>
                <w:szCs w:val="21"/>
              </w:rPr>
            </w:pPr>
            <w:r>
              <w:rPr>
                <w:rFonts w:hint="eastAsia" w:ascii="楷体_GB2312" w:hAnsi="楷体_GB2312" w:eastAsia="楷体_GB2312" w:cs="楷体_GB2312"/>
                <w:color w:val="auto"/>
                <w:szCs w:val="21"/>
                <w:lang w:val="zh-CN"/>
              </w:rPr>
              <w:t>向社会</w:t>
            </w:r>
            <w:r>
              <w:rPr>
                <w:rFonts w:hint="eastAsia" w:ascii="楷体_GB2312" w:hAnsi="楷体_GB2312" w:eastAsia="楷体_GB2312" w:cs="楷体_GB2312"/>
                <w:color w:val="auto"/>
                <w:szCs w:val="21"/>
              </w:rPr>
              <w:t>开放图书馆、体育运动场所和大型仪器设备等设施，联合共建研究基地、人才培养基地等教学资源。</w:t>
            </w:r>
          </w:p>
        </w:tc>
        <w:tc>
          <w:tcPr>
            <w:tcW w:w="4708" w:type="dxa"/>
            <w:vAlign w:val="center"/>
          </w:tcPr>
          <w:p>
            <w:pPr>
              <w:spacing w:line="320" w:lineRule="exact"/>
              <w:jc w:val="center"/>
              <w:rPr>
                <w:rFonts w:ascii="宋体" w:cs="宋体"/>
                <w:color w:val="auto"/>
                <w:szCs w:val="21"/>
                <w:lang w:val="zh-CN"/>
              </w:rPr>
            </w:pPr>
          </w:p>
        </w:tc>
        <w:tc>
          <w:tcPr>
            <w:tcW w:w="1395" w:type="dxa"/>
            <w:vAlign w:val="center"/>
          </w:tcPr>
          <w:p>
            <w:pPr>
              <w:spacing w:line="320" w:lineRule="exact"/>
              <w:jc w:val="center"/>
              <w:rPr>
                <w:rFonts w:hint="eastAsia" w:ascii="宋体" w:hAnsi="宋体" w:cs="宋体"/>
                <w:color w:val="auto"/>
                <w:szCs w:val="21"/>
              </w:rPr>
            </w:pPr>
          </w:p>
        </w:tc>
        <w:tc>
          <w:tcPr>
            <w:tcW w:w="1110" w:type="dxa"/>
            <w:vAlign w:val="center"/>
          </w:tcPr>
          <w:p>
            <w:pPr>
              <w:spacing w:line="320" w:lineRule="exact"/>
              <w:jc w:val="center"/>
              <w:rPr>
                <w:color w:val="auto"/>
                <w:sz w:val="18"/>
                <w:szCs w:val="18"/>
              </w:rPr>
            </w:pPr>
            <w:r>
              <w:rPr>
                <w:rFonts w:hint="eastAsia"/>
                <w:color w:val="auto"/>
                <w:sz w:val="18"/>
                <w:szCs w:val="18"/>
              </w:rPr>
              <w:t>图书馆</w:t>
            </w:r>
          </w:p>
          <w:p>
            <w:pPr>
              <w:spacing w:line="320" w:lineRule="exact"/>
              <w:jc w:val="center"/>
              <w:rPr>
                <w:color w:val="auto"/>
                <w:sz w:val="18"/>
                <w:szCs w:val="18"/>
              </w:rPr>
            </w:pPr>
            <w:r>
              <w:rPr>
                <w:rFonts w:hint="eastAsia"/>
                <w:color w:val="auto"/>
                <w:sz w:val="18"/>
                <w:szCs w:val="18"/>
              </w:rPr>
              <w:t>体育学院</w:t>
            </w:r>
          </w:p>
          <w:p>
            <w:pPr>
              <w:spacing w:line="320" w:lineRule="exact"/>
              <w:jc w:val="center"/>
              <w:rPr>
                <w:color w:val="auto"/>
                <w:sz w:val="18"/>
                <w:szCs w:val="18"/>
              </w:rPr>
            </w:pPr>
            <w:r>
              <w:rPr>
                <w:rFonts w:hint="eastAsia"/>
                <w:color w:val="auto"/>
                <w:sz w:val="18"/>
                <w:szCs w:val="18"/>
              </w:rPr>
              <w:t>教务处</w:t>
            </w:r>
          </w:p>
        </w:tc>
        <w:tc>
          <w:tcPr>
            <w:tcW w:w="1122" w:type="dxa"/>
            <w:vAlign w:val="center"/>
          </w:tcPr>
          <w:p>
            <w:pPr>
              <w:spacing w:line="320" w:lineRule="exact"/>
              <w:jc w:val="center"/>
              <w:rPr>
                <w:color w:val="auto"/>
                <w:sz w:val="18"/>
                <w:szCs w:val="18"/>
              </w:rPr>
            </w:pPr>
            <w:r>
              <w:rPr>
                <w:rFonts w:hint="eastAsia"/>
                <w:color w:val="auto"/>
                <w:sz w:val="18"/>
                <w:szCs w:val="18"/>
              </w:rPr>
              <w:t>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5" w:hRule="atLeast"/>
          <w:jc w:val="center"/>
        </w:trPr>
        <w:tc>
          <w:tcPr>
            <w:tcW w:w="1608" w:type="dxa"/>
            <w:vAlign w:val="center"/>
          </w:tcPr>
          <w:p>
            <w:pPr>
              <w:spacing w:line="320" w:lineRule="exact"/>
              <w:jc w:val="left"/>
              <w:rPr>
                <w:rStyle w:val="6"/>
                <w:rFonts w:ascii="楷体_GB2312" w:hAnsi="楷体_GB2312" w:eastAsia="楷体_GB2312" w:cs="楷体_GB2312"/>
                <w:color w:val="auto"/>
                <w:szCs w:val="21"/>
              </w:rPr>
            </w:pPr>
            <w:r>
              <w:rPr>
                <w:rFonts w:ascii="楷体_GB2312" w:hAnsi="楷体_GB2312" w:eastAsia="楷体_GB2312" w:cs="楷体_GB2312"/>
                <w:b/>
                <w:bCs/>
                <w:color w:val="auto"/>
                <w:szCs w:val="21"/>
              </w:rPr>
              <w:t>22.</w:t>
            </w:r>
            <w:r>
              <w:rPr>
                <w:rFonts w:hint="eastAsia" w:ascii="楷体_GB2312" w:hAnsi="楷体_GB2312" w:eastAsia="楷体_GB2312" w:cs="楷体_GB2312"/>
                <w:b/>
                <w:bCs/>
                <w:color w:val="auto"/>
                <w:szCs w:val="21"/>
              </w:rPr>
              <w:t>推进人事管理改革。</w:t>
            </w:r>
          </w:p>
        </w:tc>
        <w:tc>
          <w:tcPr>
            <w:tcW w:w="4182" w:type="dxa"/>
            <w:vAlign w:val="center"/>
          </w:tcPr>
          <w:p>
            <w:pPr>
              <w:spacing w:line="320" w:lineRule="exact"/>
              <w:rPr>
                <w:rFonts w:ascii="楷体_GB2312" w:hAnsi="楷体_GB2312" w:eastAsia="楷体_GB2312" w:cs="楷体_GB2312"/>
                <w:color w:val="auto"/>
                <w:szCs w:val="21"/>
              </w:rPr>
            </w:pPr>
            <w:r>
              <w:rPr>
                <w:rFonts w:hint="eastAsia" w:ascii="楷体_GB2312" w:hAnsi="楷体_GB2312" w:eastAsia="楷体_GB2312" w:cs="楷体_GB2312"/>
                <w:color w:val="auto"/>
                <w:szCs w:val="21"/>
              </w:rPr>
              <w:t>①深化人才发展机制改革，进一步落实编制“周转池”制度，激发人才活力。</w:t>
            </w:r>
          </w:p>
          <w:p>
            <w:pPr>
              <w:spacing w:line="320" w:lineRule="exact"/>
              <w:rPr>
                <w:rFonts w:ascii="楷体_GB2312" w:hAnsi="楷体_GB2312" w:eastAsia="楷体_GB2312" w:cs="楷体_GB2312"/>
                <w:color w:val="auto"/>
                <w:szCs w:val="21"/>
              </w:rPr>
            </w:pPr>
            <w:r>
              <w:rPr>
                <w:rFonts w:hint="eastAsia" w:ascii="楷体_GB2312" w:hAnsi="楷体_GB2312" w:eastAsia="楷体_GB2312" w:cs="楷体_GB2312"/>
                <w:color w:val="auto"/>
                <w:szCs w:val="21"/>
              </w:rPr>
              <w:t>②创新人事管理体制，制定专业技术职务聘任办法，进一步完善教师系列高级职称自主评审方案，促进评审工作更加科学规范、公平公正。</w:t>
            </w:r>
          </w:p>
          <w:p>
            <w:pPr>
              <w:spacing w:line="32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③修订岗位设置管理与聘任办法，启动第二轮岗位设置与聘任工作</w:t>
            </w:r>
            <w:r>
              <w:rPr>
                <w:rFonts w:hint="eastAsia" w:ascii="楷体_GB2312" w:hAnsi="楷体_GB2312" w:eastAsia="楷体_GB2312" w:cs="楷体_GB2312"/>
                <w:color w:val="auto"/>
                <w:szCs w:val="21"/>
                <w:lang w:eastAsia="zh-CN"/>
              </w:rPr>
              <w:t>。</w:t>
            </w:r>
          </w:p>
          <w:p>
            <w:pPr>
              <w:spacing w:line="320" w:lineRule="exact"/>
              <w:rPr>
                <w:rFonts w:ascii="楷体_GB2312" w:hAnsi="楷体_GB2312" w:eastAsia="楷体_GB2312" w:cs="楷体_GB2312"/>
                <w:color w:val="auto"/>
                <w:szCs w:val="21"/>
              </w:rPr>
            </w:pPr>
            <w:r>
              <w:rPr>
                <w:rFonts w:hint="eastAsia" w:ascii="楷体_GB2312" w:hAnsi="楷体_GB2312" w:eastAsia="楷体_GB2312" w:cs="楷体_GB2312"/>
                <w:color w:val="auto"/>
                <w:szCs w:val="21"/>
              </w:rPr>
              <w:t>④制（修）订公开招聘教职工实施办法、教职工年度考核办法、专业带头人遴选和管理办法等文件。</w:t>
            </w:r>
          </w:p>
        </w:tc>
        <w:tc>
          <w:tcPr>
            <w:tcW w:w="4708" w:type="dxa"/>
            <w:vMerge w:val="restart"/>
            <w:vAlign w:val="center"/>
          </w:tcPr>
          <w:p>
            <w:pPr>
              <w:spacing w:line="320" w:lineRule="exact"/>
              <w:jc w:val="center"/>
              <w:rPr>
                <w:rFonts w:ascii="宋体" w:cs="宋体"/>
                <w:color w:val="auto"/>
                <w:szCs w:val="21"/>
              </w:rPr>
            </w:pPr>
          </w:p>
        </w:tc>
        <w:tc>
          <w:tcPr>
            <w:tcW w:w="1395" w:type="dxa"/>
            <w:vAlign w:val="center"/>
          </w:tcPr>
          <w:p>
            <w:pPr>
              <w:spacing w:line="320" w:lineRule="exact"/>
              <w:jc w:val="center"/>
              <w:rPr>
                <w:rFonts w:hint="eastAsia" w:ascii="宋体" w:hAnsi="宋体" w:cs="宋体"/>
                <w:color w:val="auto"/>
                <w:szCs w:val="21"/>
              </w:rPr>
            </w:pPr>
          </w:p>
        </w:tc>
        <w:tc>
          <w:tcPr>
            <w:tcW w:w="1110" w:type="dxa"/>
            <w:vAlign w:val="center"/>
          </w:tcPr>
          <w:p>
            <w:pPr>
              <w:spacing w:line="320" w:lineRule="exact"/>
              <w:jc w:val="center"/>
              <w:rPr>
                <w:color w:val="auto"/>
                <w:sz w:val="18"/>
                <w:szCs w:val="18"/>
              </w:rPr>
            </w:pPr>
            <w:r>
              <w:rPr>
                <w:rFonts w:hint="eastAsia"/>
                <w:color w:val="auto"/>
                <w:sz w:val="18"/>
                <w:szCs w:val="18"/>
              </w:rPr>
              <w:t>人事处</w:t>
            </w:r>
          </w:p>
        </w:tc>
        <w:tc>
          <w:tcPr>
            <w:tcW w:w="1122" w:type="dxa"/>
            <w:vAlign w:val="center"/>
          </w:tcPr>
          <w:p>
            <w:pPr>
              <w:spacing w:line="320" w:lineRule="exact"/>
              <w:jc w:val="center"/>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08" w:type="dxa"/>
            <w:vAlign w:val="center"/>
          </w:tcPr>
          <w:p>
            <w:pPr>
              <w:spacing w:line="320" w:lineRule="exact"/>
              <w:jc w:val="left"/>
              <w:rPr>
                <w:rStyle w:val="6"/>
                <w:rFonts w:ascii="楷体_GB2312" w:hAnsi="楷体_GB2312" w:eastAsia="楷体_GB2312" w:cs="楷体_GB2312"/>
                <w:color w:val="auto"/>
                <w:szCs w:val="21"/>
              </w:rPr>
            </w:pPr>
            <w:r>
              <w:rPr>
                <w:rFonts w:ascii="楷体_GB2312" w:hAnsi="楷体_GB2312" w:eastAsia="楷体_GB2312" w:cs="楷体_GB2312"/>
                <w:b/>
                <w:bCs/>
                <w:color w:val="auto"/>
                <w:szCs w:val="21"/>
              </w:rPr>
              <w:t>23.</w:t>
            </w:r>
            <w:r>
              <w:rPr>
                <w:rFonts w:hint="eastAsia" w:ascii="楷体_GB2312" w:hAnsi="楷体_GB2312" w:eastAsia="楷体_GB2312" w:cs="楷体_GB2312"/>
                <w:b/>
                <w:bCs/>
                <w:color w:val="auto"/>
                <w:szCs w:val="21"/>
              </w:rPr>
              <w:t>加强教师应用能力培养。</w:t>
            </w:r>
          </w:p>
        </w:tc>
        <w:tc>
          <w:tcPr>
            <w:tcW w:w="4182" w:type="dxa"/>
            <w:vAlign w:val="center"/>
          </w:tcPr>
          <w:p>
            <w:pPr>
              <w:spacing w:line="320" w:lineRule="exact"/>
              <w:rPr>
                <w:rFonts w:ascii="楷体_GB2312" w:hAnsi="楷体_GB2312" w:eastAsia="楷体_GB2312" w:cs="楷体_GB2312"/>
                <w:color w:val="auto"/>
                <w:szCs w:val="21"/>
              </w:rPr>
            </w:pPr>
            <w:r>
              <w:rPr>
                <w:rFonts w:hint="eastAsia" w:ascii="楷体_GB2312" w:hAnsi="楷体_GB2312" w:eastAsia="楷体_GB2312" w:cs="楷体_GB2312"/>
                <w:color w:val="auto"/>
                <w:szCs w:val="21"/>
              </w:rPr>
              <w:t>①选派教师</w:t>
            </w:r>
            <w:r>
              <w:rPr>
                <w:rFonts w:hint="eastAsia" w:ascii="楷体_GB2312" w:hAnsi="楷体_GB2312" w:eastAsia="楷体_GB2312" w:cs="楷体_GB2312"/>
                <w:color w:val="auto"/>
                <w:szCs w:val="21"/>
                <w:lang w:eastAsia="zh-CN"/>
              </w:rPr>
              <w:t>国内外</w:t>
            </w:r>
            <w:r>
              <w:rPr>
                <w:rFonts w:hint="eastAsia" w:ascii="楷体_GB2312" w:hAnsi="楷体_GB2312" w:eastAsia="楷体_GB2312" w:cs="楷体_GB2312"/>
                <w:color w:val="auto"/>
                <w:szCs w:val="21"/>
              </w:rPr>
              <w:t>访学、研修、培训等；</w:t>
            </w:r>
          </w:p>
        </w:tc>
        <w:tc>
          <w:tcPr>
            <w:tcW w:w="4708" w:type="dxa"/>
            <w:vMerge w:val="continue"/>
            <w:vAlign w:val="center"/>
          </w:tcPr>
          <w:p>
            <w:pPr>
              <w:spacing w:line="320" w:lineRule="exact"/>
              <w:jc w:val="center"/>
              <w:rPr>
                <w:rFonts w:ascii="宋体" w:cs="宋体"/>
                <w:color w:val="auto"/>
                <w:szCs w:val="21"/>
              </w:rPr>
            </w:pPr>
          </w:p>
        </w:tc>
        <w:tc>
          <w:tcPr>
            <w:tcW w:w="1395" w:type="dxa"/>
            <w:vAlign w:val="center"/>
          </w:tcPr>
          <w:p>
            <w:pPr>
              <w:spacing w:line="320" w:lineRule="exact"/>
              <w:jc w:val="center"/>
              <w:rPr>
                <w:rFonts w:ascii="宋体" w:cs="宋体"/>
                <w:color w:val="auto"/>
                <w:szCs w:val="21"/>
              </w:rPr>
            </w:pPr>
          </w:p>
        </w:tc>
        <w:tc>
          <w:tcPr>
            <w:tcW w:w="1110" w:type="dxa"/>
            <w:vAlign w:val="center"/>
          </w:tcPr>
          <w:p>
            <w:pPr>
              <w:spacing w:line="320" w:lineRule="exact"/>
              <w:jc w:val="center"/>
              <w:rPr>
                <w:color w:val="auto"/>
                <w:sz w:val="18"/>
                <w:szCs w:val="18"/>
              </w:rPr>
            </w:pPr>
            <w:r>
              <w:rPr>
                <w:rFonts w:hint="eastAsia"/>
                <w:color w:val="auto"/>
                <w:sz w:val="18"/>
                <w:szCs w:val="18"/>
              </w:rPr>
              <w:t>人事处</w:t>
            </w:r>
          </w:p>
        </w:tc>
        <w:tc>
          <w:tcPr>
            <w:tcW w:w="1122" w:type="dxa"/>
            <w:vAlign w:val="center"/>
          </w:tcPr>
          <w:p>
            <w:pPr>
              <w:spacing w:line="320" w:lineRule="exact"/>
              <w:jc w:val="center"/>
              <w:rPr>
                <w:rFonts w:hint="eastAsia" w:eastAsia="宋体"/>
                <w:color w:val="auto"/>
                <w:sz w:val="18"/>
                <w:szCs w:val="18"/>
                <w:lang w:eastAsia="zh-CN"/>
              </w:rPr>
            </w:pPr>
            <w:r>
              <w:rPr>
                <w:rFonts w:hint="eastAsia"/>
                <w:color w:val="auto"/>
                <w:sz w:val="18"/>
                <w:szCs w:val="18"/>
                <w:lang w:eastAsia="zh-CN"/>
              </w:rPr>
              <w:t>国际交流与合作处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08" w:type="dxa"/>
            <w:vAlign w:val="center"/>
          </w:tcPr>
          <w:p>
            <w:pPr>
              <w:spacing w:line="320" w:lineRule="exact"/>
              <w:jc w:val="left"/>
              <w:rPr>
                <w:rFonts w:ascii="楷体_GB2312" w:hAnsi="楷体_GB2312" w:eastAsia="楷体_GB2312" w:cs="楷体_GB2312"/>
                <w:b/>
                <w:bCs/>
                <w:color w:val="auto"/>
                <w:szCs w:val="21"/>
              </w:rPr>
            </w:pPr>
          </w:p>
        </w:tc>
        <w:tc>
          <w:tcPr>
            <w:tcW w:w="4182" w:type="dxa"/>
            <w:vAlign w:val="center"/>
          </w:tcPr>
          <w:p>
            <w:pPr>
              <w:spacing w:line="32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②开展教师挂职锻炼和“双能”资格认定工作；③实施“青年教师教学能力提升工程”；④遴选“教师应用能力发展工作站”，着力提升教师实践应用能力</w:t>
            </w:r>
            <w:r>
              <w:rPr>
                <w:rFonts w:hint="eastAsia" w:ascii="楷体_GB2312" w:hAnsi="楷体_GB2312" w:eastAsia="楷体_GB2312" w:cs="楷体_GB2312"/>
                <w:color w:val="auto"/>
                <w:szCs w:val="21"/>
                <w:lang w:eastAsia="zh-CN"/>
              </w:rPr>
              <w:t>。</w:t>
            </w:r>
          </w:p>
        </w:tc>
        <w:tc>
          <w:tcPr>
            <w:tcW w:w="4708" w:type="dxa"/>
            <w:vMerge w:val="continue"/>
            <w:vAlign w:val="center"/>
          </w:tcPr>
          <w:p>
            <w:pPr>
              <w:spacing w:line="320" w:lineRule="exact"/>
              <w:jc w:val="center"/>
              <w:rPr>
                <w:rFonts w:ascii="宋体" w:cs="宋体"/>
                <w:color w:val="auto"/>
                <w:szCs w:val="21"/>
              </w:rPr>
            </w:pPr>
          </w:p>
        </w:tc>
        <w:tc>
          <w:tcPr>
            <w:tcW w:w="1395" w:type="dxa"/>
            <w:vAlign w:val="center"/>
          </w:tcPr>
          <w:p>
            <w:pPr>
              <w:spacing w:line="320" w:lineRule="exact"/>
              <w:jc w:val="center"/>
              <w:rPr>
                <w:rFonts w:ascii="宋体" w:cs="宋体"/>
                <w:color w:val="auto"/>
                <w:szCs w:val="21"/>
              </w:rPr>
            </w:pPr>
          </w:p>
        </w:tc>
        <w:tc>
          <w:tcPr>
            <w:tcW w:w="1110" w:type="dxa"/>
            <w:vAlign w:val="center"/>
          </w:tcPr>
          <w:p>
            <w:pPr>
              <w:spacing w:line="320" w:lineRule="exact"/>
              <w:jc w:val="center"/>
              <w:rPr>
                <w:rFonts w:hint="eastAsia"/>
                <w:color w:val="auto"/>
                <w:sz w:val="18"/>
                <w:szCs w:val="18"/>
              </w:rPr>
            </w:pPr>
            <w:r>
              <w:rPr>
                <w:rFonts w:hint="eastAsia"/>
                <w:color w:val="auto"/>
                <w:sz w:val="18"/>
                <w:szCs w:val="18"/>
              </w:rPr>
              <w:t>人事处</w:t>
            </w:r>
          </w:p>
        </w:tc>
        <w:tc>
          <w:tcPr>
            <w:tcW w:w="1122" w:type="dxa"/>
            <w:vAlign w:val="center"/>
          </w:tcPr>
          <w:p>
            <w:pPr>
              <w:spacing w:line="320" w:lineRule="exact"/>
              <w:jc w:val="center"/>
              <w:rPr>
                <w:rFonts w:hint="eastAsia"/>
                <w:color w:val="auto"/>
                <w:sz w:val="18"/>
                <w:szCs w:val="18"/>
              </w:rPr>
            </w:pPr>
            <w:r>
              <w:rPr>
                <w:rFonts w:hint="eastAsia"/>
                <w:color w:val="auto"/>
                <w:sz w:val="18"/>
                <w:szCs w:val="18"/>
              </w:rPr>
              <w:t>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55" w:hRule="atLeast"/>
          <w:jc w:val="center"/>
        </w:trPr>
        <w:tc>
          <w:tcPr>
            <w:tcW w:w="1608" w:type="dxa"/>
            <w:vAlign w:val="center"/>
          </w:tcPr>
          <w:p>
            <w:pPr>
              <w:spacing w:line="320" w:lineRule="exact"/>
              <w:jc w:val="left"/>
              <w:rPr>
                <w:rFonts w:ascii="楷体_GB2312" w:hAnsi="楷体_GB2312" w:eastAsia="楷体_GB2312" w:cs="楷体_GB2312"/>
                <w:b/>
                <w:bCs/>
                <w:color w:val="auto"/>
                <w:szCs w:val="21"/>
              </w:rPr>
            </w:pPr>
            <w:r>
              <w:rPr>
                <w:rFonts w:ascii="楷体_GB2312" w:hAnsi="楷体_GB2312" w:eastAsia="楷体_GB2312" w:cs="楷体_GB2312"/>
                <w:b/>
                <w:bCs/>
                <w:color w:val="auto"/>
                <w:szCs w:val="21"/>
              </w:rPr>
              <w:t>24.</w:t>
            </w:r>
            <w:r>
              <w:rPr>
                <w:rFonts w:hint="eastAsia" w:ascii="楷体_GB2312" w:hAnsi="楷体_GB2312" w:eastAsia="楷体_GB2312" w:cs="楷体_GB2312"/>
                <w:b/>
                <w:bCs/>
                <w:color w:val="auto"/>
                <w:szCs w:val="21"/>
              </w:rPr>
              <w:t>加强辅导员队伍建设。</w:t>
            </w:r>
          </w:p>
        </w:tc>
        <w:tc>
          <w:tcPr>
            <w:tcW w:w="4182" w:type="dxa"/>
            <w:vAlign w:val="center"/>
          </w:tcPr>
          <w:p>
            <w:pPr>
              <w:spacing w:line="320" w:lineRule="exact"/>
              <w:rPr>
                <w:rFonts w:ascii="楷体_GB2312" w:hAnsi="楷体_GB2312" w:eastAsia="楷体_GB2312" w:cs="楷体_GB2312"/>
                <w:color w:val="auto"/>
                <w:szCs w:val="21"/>
              </w:rPr>
            </w:pPr>
            <w:r>
              <w:rPr>
                <w:rFonts w:hint="eastAsia" w:ascii="楷体_GB2312" w:hAnsi="楷体_GB2312" w:eastAsia="楷体_GB2312" w:cs="楷体_GB2312"/>
                <w:color w:val="auto"/>
                <w:szCs w:val="21"/>
              </w:rPr>
              <w:t>加强辅导员队伍建设，提升学生教育服务管理的能力和水平。</w:t>
            </w:r>
          </w:p>
        </w:tc>
        <w:tc>
          <w:tcPr>
            <w:tcW w:w="4708" w:type="dxa"/>
            <w:vAlign w:val="center"/>
          </w:tcPr>
          <w:p>
            <w:pPr>
              <w:spacing w:line="320" w:lineRule="exact"/>
              <w:jc w:val="center"/>
              <w:rPr>
                <w:rFonts w:ascii="宋体" w:cs="宋体"/>
                <w:color w:val="auto"/>
                <w:szCs w:val="21"/>
              </w:rPr>
            </w:pPr>
          </w:p>
        </w:tc>
        <w:tc>
          <w:tcPr>
            <w:tcW w:w="1395" w:type="dxa"/>
            <w:vAlign w:val="center"/>
          </w:tcPr>
          <w:p>
            <w:pPr>
              <w:spacing w:line="320" w:lineRule="exact"/>
              <w:jc w:val="center"/>
              <w:rPr>
                <w:rFonts w:hint="eastAsia" w:ascii="宋体" w:hAnsi="宋体" w:cs="宋体"/>
                <w:color w:val="auto"/>
                <w:szCs w:val="21"/>
              </w:rPr>
            </w:pPr>
          </w:p>
        </w:tc>
        <w:tc>
          <w:tcPr>
            <w:tcW w:w="1110" w:type="dxa"/>
            <w:vAlign w:val="center"/>
          </w:tcPr>
          <w:p>
            <w:pPr>
              <w:spacing w:line="320" w:lineRule="exact"/>
              <w:jc w:val="center"/>
              <w:rPr>
                <w:color w:val="auto"/>
                <w:sz w:val="18"/>
                <w:szCs w:val="18"/>
              </w:rPr>
            </w:pPr>
            <w:r>
              <w:rPr>
                <w:rFonts w:hint="eastAsia"/>
                <w:color w:val="auto"/>
                <w:sz w:val="18"/>
                <w:szCs w:val="18"/>
              </w:rPr>
              <w:t>学工部（学生处）</w:t>
            </w:r>
          </w:p>
        </w:tc>
        <w:tc>
          <w:tcPr>
            <w:tcW w:w="1122" w:type="dxa"/>
            <w:vAlign w:val="center"/>
          </w:tcPr>
          <w:p>
            <w:pPr>
              <w:spacing w:line="320" w:lineRule="exact"/>
              <w:jc w:val="center"/>
              <w:rPr>
                <w:color w:val="auto"/>
                <w:sz w:val="18"/>
                <w:szCs w:val="18"/>
              </w:rPr>
            </w:pPr>
            <w:r>
              <w:rPr>
                <w:rFonts w:hint="eastAsia"/>
                <w:color w:val="auto"/>
                <w:sz w:val="18"/>
                <w:szCs w:val="18"/>
              </w:rPr>
              <w:t>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5" w:hRule="atLeast"/>
          <w:jc w:val="center"/>
        </w:trPr>
        <w:tc>
          <w:tcPr>
            <w:tcW w:w="1608" w:type="dxa"/>
            <w:vAlign w:val="center"/>
          </w:tcPr>
          <w:p>
            <w:pPr>
              <w:spacing w:line="320" w:lineRule="exact"/>
              <w:jc w:val="left"/>
              <w:rPr>
                <w:rFonts w:ascii="楷体_GB2312" w:hAnsi="楷体_GB2312" w:eastAsia="楷体_GB2312" w:cs="楷体_GB2312"/>
                <w:b/>
                <w:bCs/>
                <w:color w:val="auto"/>
                <w:szCs w:val="21"/>
              </w:rPr>
            </w:pPr>
            <w:r>
              <w:rPr>
                <w:rFonts w:ascii="楷体_GB2312" w:hAnsi="楷体_GB2312" w:eastAsia="楷体_GB2312" w:cs="楷体_GB2312"/>
                <w:b/>
                <w:bCs/>
                <w:color w:val="auto"/>
                <w:szCs w:val="21"/>
              </w:rPr>
              <w:t>25.</w:t>
            </w:r>
            <w:r>
              <w:rPr>
                <w:rFonts w:hint="eastAsia" w:ascii="楷体_GB2312" w:hAnsi="楷体_GB2312" w:eastAsia="楷体_GB2312" w:cs="楷体_GB2312"/>
                <w:b/>
                <w:bCs/>
                <w:color w:val="auto"/>
                <w:szCs w:val="21"/>
              </w:rPr>
              <w:t>继续加强师德师风建设。</w:t>
            </w:r>
          </w:p>
        </w:tc>
        <w:tc>
          <w:tcPr>
            <w:tcW w:w="4182" w:type="dxa"/>
            <w:vAlign w:val="center"/>
          </w:tcPr>
          <w:p>
            <w:pPr>
              <w:spacing w:line="320" w:lineRule="exact"/>
              <w:rPr>
                <w:rFonts w:ascii="楷体_GB2312" w:hAnsi="楷体_GB2312" w:eastAsia="楷体_GB2312" w:cs="楷体_GB2312"/>
                <w:color w:val="auto"/>
                <w:szCs w:val="21"/>
              </w:rPr>
            </w:pPr>
            <w:r>
              <w:rPr>
                <w:rFonts w:hint="eastAsia" w:ascii="楷体_GB2312" w:hAnsi="楷体_GB2312" w:eastAsia="楷体_GB2312" w:cs="楷体_GB2312"/>
                <w:color w:val="auto"/>
                <w:szCs w:val="21"/>
              </w:rPr>
              <w:t>树立师德师风先进典型，评选“最受学生欢迎的好老师”。</w:t>
            </w:r>
          </w:p>
        </w:tc>
        <w:tc>
          <w:tcPr>
            <w:tcW w:w="4708" w:type="dxa"/>
            <w:vAlign w:val="center"/>
          </w:tcPr>
          <w:p>
            <w:pPr>
              <w:spacing w:line="320" w:lineRule="exact"/>
              <w:jc w:val="center"/>
              <w:rPr>
                <w:rFonts w:ascii="宋体" w:cs="宋体"/>
                <w:color w:val="auto"/>
                <w:szCs w:val="21"/>
              </w:rPr>
            </w:pPr>
          </w:p>
        </w:tc>
        <w:tc>
          <w:tcPr>
            <w:tcW w:w="1395" w:type="dxa"/>
            <w:vAlign w:val="center"/>
          </w:tcPr>
          <w:p>
            <w:pPr>
              <w:spacing w:line="320" w:lineRule="exact"/>
              <w:jc w:val="center"/>
              <w:rPr>
                <w:rFonts w:hint="eastAsia" w:ascii="宋体" w:hAnsi="宋体" w:cs="宋体"/>
                <w:color w:val="auto"/>
                <w:szCs w:val="21"/>
              </w:rPr>
            </w:pPr>
          </w:p>
        </w:tc>
        <w:tc>
          <w:tcPr>
            <w:tcW w:w="1110" w:type="dxa"/>
            <w:vAlign w:val="center"/>
          </w:tcPr>
          <w:p>
            <w:pPr>
              <w:spacing w:line="320" w:lineRule="exact"/>
              <w:jc w:val="center"/>
              <w:rPr>
                <w:color w:val="auto"/>
                <w:sz w:val="18"/>
                <w:szCs w:val="18"/>
              </w:rPr>
            </w:pPr>
            <w:r>
              <w:rPr>
                <w:rFonts w:hint="eastAsia"/>
                <w:color w:val="auto"/>
                <w:sz w:val="18"/>
                <w:szCs w:val="18"/>
              </w:rPr>
              <w:t>宣传部</w:t>
            </w:r>
          </w:p>
          <w:p>
            <w:pPr>
              <w:spacing w:line="320" w:lineRule="exact"/>
              <w:jc w:val="center"/>
              <w:rPr>
                <w:color w:val="auto"/>
                <w:sz w:val="18"/>
                <w:szCs w:val="18"/>
              </w:rPr>
            </w:pPr>
            <w:r>
              <w:rPr>
                <w:rFonts w:hint="eastAsia"/>
                <w:color w:val="auto"/>
                <w:sz w:val="18"/>
                <w:szCs w:val="18"/>
              </w:rPr>
              <w:t>人事处</w:t>
            </w:r>
          </w:p>
          <w:p>
            <w:pPr>
              <w:spacing w:line="320" w:lineRule="exact"/>
              <w:jc w:val="center"/>
              <w:rPr>
                <w:color w:val="auto"/>
                <w:sz w:val="18"/>
                <w:szCs w:val="18"/>
              </w:rPr>
            </w:pPr>
          </w:p>
        </w:tc>
        <w:tc>
          <w:tcPr>
            <w:tcW w:w="1122" w:type="dxa"/>
            <w:vAlign w:val="center"/>
          </w:tcPr>
          <w:p>
            <w:pPr>
              <w:spacing w:line="320" w:lineRule="exact"/>
              <w:jc w:val="center"/>
              <w:rPr>
                <w:color w:val="auto"/>
                <w:sz w:val="18"/>
                <w:szCs w:val="18"/>
              </w:rPr>
            </w:pPr>
            <w:r>
              <w:rPr>
                <w:rFonts w:hint="eastAsia"/>
                <w:color w:val="auto"/>
                <w:sz w:val="18"/>
                <w:szCs w:val="18"/>
              </w:rPr>
              <w:t>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5" w:hRule="atLeast"/>
          <w:jc w:val="center"/>
        </w:trPr>
        <w:tc>
          <w:tcPr>
            <w:tcW w:w="1608" w:type="dxa"/>
            <w:vAlign w:val="center"/>
          </w:tcPr>
          <w:p>
            <w:pPr>
              <w:spacing w:line="320" w:lineRule="exact"/>
              <w:jc w:val="left"/>
              <w:rPr>
                <w:rFonts w:ascii="楷体_GB2312" w:hAnsi="楷体_GB2312" w:eastAsia="楷体_GB2312" w:cs="楷体_GB2312"/>
                <w:b/>
                <w:bCs/>
                <w:color w:val="auto"/>
                <w:szCs w:val="21"/>
              </w:rPr>
            </w:pPr>
            <w:r>
              <w:rPr>
                <w:rFonts w:ascii="楷体_GB2312" w:hAnsi="楷体_GB2312" w:eastAsia="楷体_GB2312" w:cs="楷体_GB2312"/>
                <w:b/>
                <w:bCs/>
                <w:color w:val="auto"/>
                <w:szCs w:val="21"/>
              </w:rPr>
              <w:t>26.</w:t>
            </w:r>
            <w:r>
              <w:rPr>
                <w:rFonts w:hint="eastAsia" w:ascii="楷体_GB2312" w:hAnsi="楷体_GB2312" w:eastAsia="楷体_GB2312" w:cs="楷体_GB2312"/>
                <w:b/>
                <w:bCs/>
                <w:color w:val="auto"/>
                <w:szCs w:val="21"/>
              </w:rPr>
              <w:t>丰富大学文化建设内涵。</w:t>
            </w:r>
          </w:p>
        </w:tc>
        <w:tc>
          <w:tcPr>
            <w:tcW w:w="4182" w:type="dxa"/>
            <w:vAlign w:val="center"/>
          </w:tcPr>
          <w:p>
            <w:pPr>
              <w:spacing w:line="320" w:lineRule="exact"/>
              <w:rPr>
                <w:rFonts w:ascii="楷体_GB2312" w:hAnsi="楷体_GB2312" w:eastAsia="楷体_GB2312" w:cs="楷体_GB2312"/>
                <w:color w:val="auto"/>
                <w:szCs w:val="21"/>
              </w:rPr>
            </w:pPr>
            <w:r>
              <w:rPr>
                <w:rFonts w:hint="eastAsia" w:ascii="楷体_GB2312" w:hAnsi="楷体_GB2312" w:eastAsia="楷体_GB2312" w:cs="楷体_GB2312"/>
                <w:color w:val="auto"/>
                <w:szCs w:val="21"/>
              </w:rPr>
              <w:t>①办好形式多样的校园文化活动，实施“创优秀大学文化”工程，持续打造“孝文化进校园”等文化活动品牌，提升大学文化建设水平。</w:t>
            </w:r>
          </w:p>
          <w:p>
            <w:pPr>
              <w:spacing w:line="320" w:lineRule="exact"/>
              <w:rPr>
                <w:rFonts w:ascii="楷体_GB2312" w:hAnsi="楷体_GB2312" w:eastAsia="楷体_GB2312" w:cs="楷体_GB2312"/>
                <w:color w:val="auto"/>
                <w:szCs w:val="21"/>
              </w:rPr>
            </w:pPr>
            <w:r>
              <w:rPr>
                <w:rFonts w:hint="eastAsia" w:ascii="楷体_GB2312" w:hAnsi="楷体_GB2312" w:eastAsia="楷体_GB2312" w:cs="楷体_GB2312"/>
                <w:color w:val="auto"/>
                <w:szCs w:val="21"/>
              </w:rPr>
              <w:t>②开展校园读书创作活动，建设书香校园。</w:t>
            </w:r>
          </w:p>
        </w:tc>
        <w:tc>
          <w:tcPr>
            <w:tcW w:w="4708" w:type="dxa"/>
            <w:vAlign w:val="center"/>
          </w:tcPr>
          <w:p>
            <w:pPr>
              <w:spacing w:line="320" w:lineRule="exact"/>
              <w:jc w:val="center"/>
              <w:rPr>
                <w:rFonts w:ascii="宋体" w:cs="宋体"/>
                <w:color w:val="auto"/>
                <w:szCs w:val="21"/>
              </w:rPr>
            </w:pPr>
          </w:p>
        </w:tc>
        <w:tc>
          <w:tcPr>
            <w:tcW w:w="1395" w:type="dxa"/>
            <w:vAlign w:val="center"/>
          </w:tcPr>
          <w:p>
            <w:pPr>
              <w:spacing w:line="320" w:lineRule="exact"/>
              <w:jc w:val="center"/>
              <w:rPr>
                <w:rFonts w:hint="eastAsia" w:ascii="宋体" w:hAnsi="宋体" w:cs="宋体"/>
                <w:color w:val="auto"/>
                <w:szCs w:val="21"/>
              </w:rPr>
            </w:pPr>
          </w:p>
        </w:tc>
        <w:tc>
          <w:tcPr>
            <w:tcW w:w="1110" w:type="dxa"/>
            <w:vAlign w:val="center"/>
          </w:tcPr>
          <w:p>
            <w:pPr>
              <w:spacing w:line="320" w:lineRule="exact"/>
              <w:jc w:val="center"/>
              <w:rPr>
                <w:color w:val="auto"/>
                <w:sz w:val="18"/>
                <w:szCs w:val="18"/>
                <w:u w:val="none"/>
              </w:rPr>
            </w:pPr>
            <w:r>
              <w:rPr>
                <w:rFonts w:hint="eastAsia"/>
                <w:color w:val="auto"/>
                <w:sz w:val="18"/>
                <w:szCs w:val="18"/>
                <w:u w:val="none"/>
              </w:rPr>
              <w:t>宣传部</w:t>
            </w:r>
          </w:p>
          <w:p>
            <w:pPr>
              <w:spacing w:line="320" w:lineRule="exact"/>
              <w:jc w:val="center"/>
              <w:rPr>
                <w:color w:val="auto"/>
                <w:sz w:val="18"/>
                <w:szCs w:val="18"/>
                <w:u w:val="none"/>
              </w:rPr>
            </w:pPr>
            <w:r>
              <w:rPr>
                <w:rFonts w:hint="eastAsia"/>
                <w:color w:val="auto"/>
                <w:sz w:val="18"/>
                <w:szCs w:val="18"/>
                <w:u w:val="none"/>
              </w:rPr>
              <w:t>团</w:t>
            </w:r>
            <w:r>
              <w:rPr>
                <w:color w:val="auto"/>
                <w:sz w:val="18"/>
                <w:szCs w:val="18"/>
                <w:u w:val="none"/>
              </w:rPr>
              <w:t xml:space="preserve"> </w:t>
            </w:r>
            <w:r>
              <w:rPr>
                <w:rFonts w:hint="eastAsia"/>
                <w:color w:val="auto"/>
                <w:sz w:val="18"/>
                <w:szCs w:val="18"/>
                <w:u w:val="none"/>
              </w:rPr>
              <w:t>委</w:t>
            </w:r>
          </w:p>
          <w:p>
            <w:pPr>
              <w:spacing w:line="320" w:lineRule="exact"/>
              <w:jc w:val="center"/>
              <w:rPr>
                <w:color w:val="auto"/>
                <w:sz w:val="18"/>
                <w:szCs w:val="18"/>
                <w:u w:val="none"/>
              </w:rPr>
            </w:pPr>
            <w:r>
              <w:rPr>
                <w:rFonts w:hint="eastAsia"/>
                <w:color w:val="auto"/>
                <w:sz w:val="18"/>
                <w:szCs w:val="18"/>
                <w:u w:val="none"/>
              </w:rPr>
              <w:t>图书馆</w:t>
            </w:r>
          </w:p>
        </w:tc>
        <w:tc>
          <w:tcPr>
            <w:tcW w:w="1122" w:type="dxa"/>
            <w:vAlign w:val="center"/>
          </w:tcPr>
          <w:p>
            <w:pPr>
              <w:spacing w:line="320" w:lineRule="exact"/>
              <w:jc w:val="center"/>
              <w:rPr>
                <w:color w:val="auto"/>
                <w:sz w:val="18"/>
                <w:szCs w:val="18"/>
              </w:rPr>
            </w:pPr>
            <w:r>
              <w:rPr>
                <w:rFonts w:hint="eastAsia"/>
                <w:color w:val="auto"/>
                <w:sz w:val="18"/>
                <w:szCs w:val="18"/>
              </w:rPr>
              <w:t>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5" w:hRule="atLeast"/>
          <w:jc w:val="center"/>
        </w:trPr>
        <w:tc>
          <w:tcPr>
            <w:tcW w:w="1608" w:type="dxa"/>
            <w:vMerge w:val="restart"/>
            <w:vAlign w:val="center"/>
          </w:tcPr>
          <w:p>
            <w:pPr>
              <w:spacing w:line="320" w:lineRule="exact"/>
              <w:jc w:val="left"/>
              <w:rPr>
                <w:rFonts w:ascii="楷体_GB2312" w:hAnsi="楷体_GB2312" w:eastAsia="楷体_GB2312" w:cs="楷体_GB2312"/>
                <w:b/>
                <w:bCs/>
                <w:color w:val="auto"/>
                <w:szCs w:val="21"/>
              </w:rPr>
            </w:pPr>
            <w:r>
              <w:rPr>
                <w:rFonts w:ascii="楷体_GB2312" w:hAnsi="楷体_GB2312" w:eastAsia="楷体_GB2312" w:cs="楷体_GB2312"/>
                <w:b/>
                <w:bCs/>
                <w:color w:val="auto"/>
                <w:szCs w:val="21"/>
              </w:rPr>
              <w:t>27.</w:t>
            </w:r>
            <w:r>
              <w:rPr>
                <w:rFonts w:hint="eastAsia" w:ascii="楷体_GB2312" w:hAnsi="楷体_GB2312" w:eastAsia="楷体_GB2312" w:cs="楷体_GB2312"/>
                <w:b/>
                <w:bCs/>
                <w:color w:val="auto"/>
                <w:szCs w:val="21"/>
              </w:rPr>
              <w:t>加强人文社会科学和智库建设。</w:t>
            </w:r>
          </w:p>
        </w:tc>
        <w:tc>
          <w:tcPr>
            <w:tcW w:w="4182" w:type="dxa"/>
            <w:vAlign w:val="center"/>
          </w:tcPr>
          <w:p>
            <w:pPr>
              <w:spacing w:line="320" w:lineRule="exact"/>
              <w:rPr>
                <w:rFonts w:ascii="楷体_GB2312" w:hAnsi="楷体_GB2312" w:eastAsia="楷体_GB2312" w:cs="楷体_GB2312"/>
                <w:color w:val="auto"/>
                <w:szCs w:val="21"/>
              </w:rPr>
            </w:pPr>
            <w:r>
              <w:rPr>
                <w:rFonts w:hint="eastAsia" w:ascii="楷体_GB2312" w:hAnsi="楷体_GB2312" w:eastAsia="楷体_GB2312" w:cs="楷体_GB2312"/>
                <w:color w:val="auto"/>
                <w:szCs w:val="21"/>
              </w:rPr>
              <w:t>①加强与地方文化建设工作的交流与合作，</w:t>
            </w:r>
            <w:r>
              <w:rPr>
                <w:rFonts w:hint="eastAsia" w:ascii="楷体_GB2312" w:hAnsi="楷体_GB2312" w:eastAsia="楷体_GB2312" w:cs="楷体_GB2312"/>
                <w:color w:val="auto"/>
                <w:szCs w:val="21"/>
                <w:lang w:eastAsia="zh-CN"/>
              </w:rPr>
              <w:t>建设</w:t>
            </w:r>
            <w:r>
              <w:rPr>
                <w:rFonts w:hint="eastAsia" w:ascii="楷体_GB2312" w:hAnsi="楷体_GB2312" w:eastAsia="楷体_GB2312" w:cs="楷体_GB2312"/>
                <w:color w:val="auto"/>
                <w:szCs w:val="21"/>
              </w:rPr>
              <w:t>皖北文化艺术馆，联合宿州市有关单位组建宿州文化研究院，进一步加强传统文化与地方文化研究成果的普及与转化工作</w:t>
            </w:r>
            <w:r>
              <w:rPr>
                <w:rFonts w:hint="eastAsia" w:ascii="楷体_GB2312" w:hAnsi="楷体_GB2312" w:eastAsia="楷体_GB2312" w:cs="楷体_GB2312"/>
                <w:color w:val="auto"/>
                <w:szCs w:val="21"/>
                <w:lang w:eastAsia="zh-CN"/>
              </w:rPr>
              <w:t>。</w:t>
            </w:r>
          </w:p>
        </w:tc>
        <w:tc>
          <w:tcPr>
            <w:tcW w:w="4708" w:type="dxa"/>
            <w:vAlign w:val="center"/>
          </w:tcPr>
          <w:p>
            <w:pPr>
              <w:spacing w:line="320" w:lineRule="exact"/>
              <w:jc w:val="center"/>
              <w:rPr>
                <w:rFonts w:ascii="宋体" w:cs="宋体"/>
                <w:color w:val="auto"/>
                <w:szCs w:val="21"/>
              </w:rPr>
            </w:pPr>
          </w:p>
        </w:tc>
        <w:tc>
          <w:tcPr>
            <w:tcW w:w="1395" w:type="dxa"/>
            <w:vAlign w:val="center"/>
          </w:tcPr>
          <w:p>
            <w:pPr>
              <w:spacing w:line="320" w:lineRule="exact"/>
              <w:jc w:val="center"/>
              <w:rPr>
                <w:rFonts w:hint="eastAsia" w:ascii="宋体" w:hAnsi="宋体" w:cs="宋体"/>
                <w:color w:val="auto"/>
                <w:szCs w:val="21"/>
              </w:rPr>
            </w:pPr>
          </w:p>
        </w:tc>
        <w:tc>
          <w:tcPr>
            <w:tcW w:w="1110" w:type="dxa"/>
            <w:vAlign w:val="center"/>
          </w:tcPr>
          <w:p>
            <w:pPr>
              <w:spacing w:line="320" w:lineRule="exact"/>
              <w:jc w:val="center"/>
              <w:rPr>
                <w:color w:val="auto"/>
                <w:sz w:val="18"/>
                <w:szCs w:val="18"/>
                <w:u w:val="none"/>
              </w:rPr>
            </w:pPr>
            <w:r>
              <w:rPr>
                <w:rFonts w:hint="eastAsia"/>
                <w:color w:val="auto"/>
                <w:sz w:val="18"/>
                <w:szCs w:val="18"/>
                <w:u w:val="none"/>
              </w:rPr>
              <w:t>宣传部</w:t>
            </w:r>
          </w:p>
          <w:p>
            <w:pPr>
              <w:spacing w:line="320" w:lineRule="exact"/>
              <w:jc w:val="center"/>
              <w:rPr>
                <w:color w:val="auto"/>
                <w:sz w:val="18"/>
                <w:szCs w:val="18"/>
                <w:u w:val="none"/>
              </w:rPr>
            </w:pPr>
            <w:r>
              <w:rPr>
                <w:rFonts w:hint="eastAsia"/>
                <w:color w:val="auto"/>
                <w:sz w:val="18"/>
                <w:szCs w:val="18"/>
                <w:u w:val="none"/>
              </w:rPr>
              <w:t>科技处</w:t>
            </w:r>
          </w:p>
          <w:p>
            <w:pPr>
              <w:spacing w:line="320" w:lineRule="exact"/>
              <w:jc w:val="center"/>
              <w:rPr>
                <w:color w:val="auto"/>
                <w:sz w:val="18"/>
                <w:szCs w:val="18"/>
                <w:u w:val="none"/>
              </w:rPr>
            </w:pPr>
            <w:r>
              <w:rPr>
                <w:rFonts w:hint="eastAsia"/>
                <w:color w:val="auto"/>
                <w:sz w:val="18"/>
                <w:szCs w:val="18"/>
                <w:u w:val="none"/>
              </w:rPr>
              <w:t>文学与传媒学院</w:t>
            </w:r>
          </w:p>
        </w:tc>
        <w:tc>
          <w:tcPr>
            <w:tcW w:w="1122" w:type="dxa"/>
            <w:vAlign w:val="center"/>
          </w:tcPr>
          <w:p>
            <w:pPr>
              <w:spacing w:line="320" w:lineRule="exact"/>
              <w:jc w:val="center"/>
              <w:rPr>
                <w:color w:val="auto"/>
                <w:sz w:val="18"/>
                <w:szCs w:val="18"/>
              </w:rPr>
            </w:pPr>
            <w:r>
              <w:rPr>
                <w:rFonts w:hint="eastAsia"/>
                <w:color w:val="auto"/>
                <w:sz w:val="18"/>
                <w:szCs w:val="18"/>
              </w:rPr>
              <w:t>各二级学院</w:t>
            </w:r>
          </w:p>
          <w:p>
            <w:pPr>
              <w:spacing w:line="320" w:lineRule="exact"/>
              <w:jc w:val="center"/>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1608" w:type="dxa"/>
            <w:vMerge w:val="continue"/>
            <w:vAlign w:val="center"/>
          </w:tcPr>
          <w:p>
            <w:pPr>
              <w:spacing w:line="320" w:lineRule="exact"/>
              <w:jc w:val="left"/>
              <w:rPr>
                <w:rFonts w:ascii="楷体_GB2312" w:hAnsi="楷体_GB2312" w:eastAsia="楷体_GB2312" w:cs="楷体_GB2312"/>
                <w:b/>
                <w:bCs/>
                <w:color w:val="auto"/>
                <w:szCs w:val="21"/>
              </w:rPr>
            </w:pPr>
          </w:p>
        </w:tc>
        <w:tc>
          <w:tcPr>
            <w:tcW w:w="4182" w:type="dxa"/>
            <w:vAlign w:val="center"/>
          </w:tcPr>
          <w:p>
            <w:pPr>
              <w:spacing w:line="320" w:lineRule="exact"/>
              <w:rPr>
                <w:rFonts w:ascii="楷体_GB2312" w:hAnsi="楷体_GB2312" w:eastAsia="楷体_GB2312" w:cs="楷体_GB2312"/>
                <w:color w:val="auto"/>
                <w:szCs w:val="21"/>
              </w:rPr>
            </w:pPr>
            <w:r>
              <w:rPr>
                <w:rFonts w:hint="eastAsia" w:ascii="楷体_GB2312" w:hAnsi="楷体_GB2312" w:eastAsia="楷体_GB2312" w:cs="楷体_GB2312"/>
                <w:color w:val="auto"/>
                <w:szCs w:val="21"/>
              </w:rPr>
              <w:t>②加强人文社会科学课题研究，争取获批更多人文社科研究项目。</w:t>
            </w:r>
          </w:p>
        </w:tc>
        <w:tc>
          <w:tcPr>
            <w:tcW w:w="4708" w:type="dxa"/>
            <w:vMerge w:val="restart"/>
            <w:vAlign w:val="center"/>
          </w:tcPr>
          <w:p>
            <w:pPr>
              <w:spacing w:line="320" w:lineRule="exact"/>
              <w:jc w:val="center"/>
              <w:rPr>
                <w:rFonts w:ascii="宋体" w:cs="宋体"/>
                <w:color w:val="auto"/>
                <w:szCs w:val="21"/>
              </w:rPr>
            </w:pPr>
          </w:p>
        </w:tc>
        <w:tc>
          <w:tcPr>
            <w:tcW w:w="1395" w:type="dxa"/>
            <w:vAlign w:val="center"/>
          </w:tcPr>
          <w:p>
            <w:pPr>
              <w:spacing w:line="320" w:lineRule="exact"/>
              <w:jc w:val="center"/>
              <w:rPr>
                <w:rFonts w:hint="eastAsia" w:ascii="宋体" w:hAnsi="宋体" w:cs="宋体"/>
                <w:color w:val="auto"/>
                <w:szCs w:val="21"/>
              </w:rPr>
            </w:pPr>
          </w:p>
        </w:tc>
        <w:tc>
          <w:tcPr>
            <w:tcW w:w="1110" w:type="dxa"/>
            <w:vAlign w:val="center"/>
          </w:tcPr>
          <w:p>
            <w:pPr>
              <w:spacing w:line="320" w:lineRule="exact"/>
              <w:jc w:val="center"/>
              <w:rPr>
                <w:color w:val="auto"/>
                <w:sz w:val="18"/>
                <w:szCs w:val="18"/>
              </w:rPr>
            </w:pPr>
            <w:r>
              <w:rPr>
                <w:rFonts w:hint="eastAsia"/>
                <w:color w:val="auto"/>
                <w:sz w:val="18"/>
                <w:szCs w:val="18"/>
              </w:rPr>
              <w:t>科技处</w:t>
            </w:r>
          </w:p>
        </w:tc>
        <w:tc>
          <w:tcPr>
            <w:tcW w:w="1122" w:type="dxa"/>
            <w:vAlign w:val="center"/>
          </w:tcPr>
          <w:p>
            <w:pPr>
              <w:spacing w:line="320" w:lineRule="exact"/>
              <w:jc w:val="center"/>
              <w:rPr>
                <w:color w:val="auto"/>
                <w:sz w:val="18"/>
                <w:szCs w:val="18"/>
              </w:rPr>
            </w:pPr>
            <w:r>
              <w:rPr>
                <w:rFonts w:hint="eastAsia"/>
                <w:color w:val="auto"/>
                <w:sz w:val="18"/>
                <w:szCs w:val="18"/>
              </w:rPr>
              <w:t>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608" w:type="dxa"/>
            <w:vMerge w:val="continue"/>
            <w:vAlign w:val="center"/>
          </w:tcPr>
          <w:p>
            <w:pPr>
              <w:spacing w:line="320" w:lineRule="exact"/>
              <w:jc w:val="left"/>
              <w:rPr>
                <w:rFonts w:ascii="楷体_GB2312" w:hAnsi="楷体_GB2312" w:eastAsia="楷体_GB2312" w:cs="楷体_GB2312"/>
                <w:b/>
                <w:bCs/>
                <w:color w:val="auto"/>
                <w:szCs w:val="21"/>
              </w:rPr>
            </w:pPr>
          </w:p>
        </w:tc>
        <w:tc>
          <w:tcPr>
            <w:tcW w:w="4182" w:type="dxa"/>
            <w:vAlign w:val="center"/>
          </w:tcPr>
          <w:p>
            <w:pPr>
              <w:spacing w:line="320" w:lineRule="exact"/>
              <w:rPr>
                <w:rFonts w:ascii="楷体_GB2312" w:hAnsi="楷体_GB2312" w:eastAsia="楷体_GB2312" w:cs="楷体_GB2312"/>
                <w:color w:val="auto"/>
                <w:szCs w:val="21"/>
              </w:rPr>
            </w:pPr>
            <w:r>
              <w:rPr>
                <w:rFonts w:hint="eastAsia" w:ascii="楷体_GB2312" w:hAnsi="楷体_GB2312" w:eastAsia="楷体_GB2312" w:cs="楷体_GB2312"/>
                <w:color w:val="auto"/>
                <w:szCs w:val="21"/>
              </w:rPr>
              <w:t>③大力传承和弘扬中华优秀传统文化，拓宽优秀传统文化选修课覆盖面。</w:t>
            </w:r>
          </w:p>
        </w:tc>
        <w:tc>
          <w:tcPr>
            <w:tcW w:w="4708" w:type="dxa"/>
            <w:vMerge w:val="continue"/>
            <w:vAlign w:val="center"/>
          </w:tcPr>
          <w:p>
            <w:pPr>
              <w:spacing w:line="320" w:lineRule="exact"/>
              <w:jc w:val="center"/>
              <w:rPr>
                <w:rFonts w:ascii="宋体" w:cs="宋体"/>
                <w:color w:val="auto"/>
                <w:szCs w:val="21"/>
              </w:rPr>
            </w:pPr>
          </w:p>
        </w:tc>
        <w:tc>
          <w:tcPr>
            <w:tcW w:w="1395" w:type="dxa"/>
            <w:vAlign w:val="center"/>
          </w:tcPr>
          <w:p>
            <w:pPr>
              <w:spacing w:line="320" w:lineRule="exact"/>
              <w:jc w:val="center"/>
              <w:rPr>
                <w:rFonts w:ascii="宋体" w:cs="宋体"/>
                <w:color w:val="auto"/>
                <w:szCs w:val="21"/>
              </w:rPr>
            </w:pPr>
          </w:p>
        </w:tc>
        <w:tc>
          <w:tcPr>
            <w:tcW w:w="1110" w:type="dxa"/>
            <w:vAlign w:val="center"/>
          </w:tcPr>
          <w:p>
            <w:pPr>
              <w:spacing w:line="320" w:lineRule="exact"/>
              <w:jc w:val="center"/>
              <w:rPr>
                <w:color w:val="auto"/>
                <w:sz w:val="18"/>
                <w:szCs w:val="18"/>
              </w:rPr>
            </w:pPr>
            <w:r>
              <w:rPr>
                <w:rFonts w:hint="eastAsia"/>
                <w:color w:val="auto"/>
                <w:sz w:val="18"/>
                <w:szCs w:val="18"/>
              </w:rPr>
              <w:t>教务处</w:t>
            </w:r>
          </w:p>
        </w:tc>
        <w:tc>
          <w:tcPr>
            <w:tcW w:w="1122" w:type="dxa"/>
            <w:vAlign w:val="center"/>
          </w:tcPr>
          <w:p>
            <w:pPr>
              <w:spacing w:line="320" w:lineRule="exact"/>
              <w:jc w:val="center"/>
              <w:rPr>
                <w:color w:val="auto"/>
                <w:sz w:val="18"/>
                <w:szCs w:val="18"/>
              </w:rPr>
            </w:pPr>
            <w:r>
              <w:rPr>
                <w:rFonts w:hint="eastAsia"/>
                <w:color w:val="auto"/>
                <w:sz w:val="18"/>
                <w:szCs w:val="18"/>
              </w:rPr>
              <w:t>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0" w:hRule="atLeast"/>
          <w:jc w:val="center"/>
        </w:trPr>
        <w:tc>
          <w:tcPr>
            <w:tcW w:w="1608" w:type="dxa"/>
            <w:vAlign w:val="center"/>
          </w:tcPr>
          <w:p>
            <w:pPr>
              <w:spacing w:line="320" w:lineRule="exact"/>
              <w:jc w:val="left"/>
              <w:rPr>
                <w:rFonts w:ascii="楷体_GB2312" w:hAnsi="楷体_GB2312" w:eastAsia="楷体_GB2312" w:cs="楷体_GB2312"/>
                <w:b/>
                <w:bCs/>
                <w:color w:val="auto"/>
                <w:szCs w:val="21"/>
              </w:rPr>
            </w:pPr>
            <w:r>
              <w:rPr>
                <w:rFonts w:ascii="楷体_GB2312" w:hAnsi="楷体_GB2312" w:eastAsia="楷体_GB2312" w:cs="楷体_GB2312"/>
                <w:b/>
                <w:bCs/>
                <w:color w:val="auto"/>
                <w:szCs w:val="21"/>
              </w:rPr>
              <w:t>28.</w:t>
            </w:r>
            <w:r>
              <w:rPr>
                <w:rFonts w:hint="eastAsia" w:ascii="楷体_GB2312" w:hAnsi="楷体_GB2312" w:eastAsia="楷体_GB2312" w:cs="楷体_GB2312"/>
                <w:b/>
                <w:bCs/>
                <w:color w:val="auto"/>
                <w:szCs w:val="21"/>
              </w:rPr>
              <w:t>深入开展文明校园创建工作。</w:t>
            </w:r>
          </w:p>
        </w:tc>
        <w:tc>
          <w:tcPr>
            <w:tcW w:w="4182" w:type="dxa"/>
            <w:vAlign w:val="center"/>
          </w:tcPr>
          <w:p>
            <w:pPr>
              <w:spacing w:line="320" w:lineRule="exact"/>
              <w:rPr>
                <w:rFonts w:ascii="楷体_GB2312" w:hAnsi="楷体_GB2312" w:eastAsia="楷体_GB2312" w:cs="楷体_GB2312"/>
                <w:color w:val="auto"/>
                <w:szCs w:val="21"/>
              </w:rPr>
            </w:pPr>
            <w:r>
              <w:rPr>
                <w:rFonts w:hint="eastAsia" w:ascii="楷体_GB2312" w:hAnsi="楷体_GB2312" w:eastAsia="楷体_GB2312" w:cs="楷体_GB2312"/>
                <w:color w:val="auto"/>
                <w:szCs w:val="21"/>
              </w:rPr>
              <w:t>深入开展文明校园创建活动，巩固文明创建成果。</w:t>
            </w:r>
          </w:p>
        </w:tc>
        <w:tc>
          <w:tcPr>
            <w:tcW w:w="4708" w:type="dxa"/>
            <w:vAlign w:val="center"/>
          </w:tcPr>
          <w:p>
            <w:pPr>
              <w:spacing w:line="320" w:lineRule="exact"/>
              <w:jc w:val="center"/>
              <w:rPr>
                <w:rFonts w:ascii="宋体" w:cs="宋体"/>
                <w:color w:val="auto"/>
                <w:szCs w:val="21"/>
              </w:rPr>
            </w:pPr>
          </w:p>
        </w:tc>
        <w:tc>
          <w:tcPr>
            <w:tcW w:w="1395" w:type="dxa"/>
            <w:vAlign w:val="center"/>
          </w:tcPr>
          <w:p>
            <w:pPr>
              <w:spacing w:line="320" w:lineRule="exact"/>
              <w:jc w:val="center"/>
              <w:rPr>
                <w:rFonts w:hint="eastAsia" w:ascii="宋体" w:hAnsi="宋体" w:cs="宋体"/>
                <w:color w:val="auto"/>
                <w:szCs w:val="21"/>
              </w:rPr>
            </w:pPr>
          </w:p>
        </w:tc>
        <w:tc>
          <w:tcPr>
            <w:tcW w:w="1110" w:type="dxa"/>
            <w:vAlign w:val="center"/>
          </w:tcPr>
          <w:p>
            <w:pPr>
              <w:spacing w:line="320" w:lineRule="exact"/>
              <w:jc w:val="center"/>
              <w:rPr>
                <w:color w:val="auto"/>
                <w:sz w:val="18"/>
                <w:szCs w:val="18"/>
              </w:rPr>
            </w:pPr>
            <w:r>
              <w:rPr>
                <w:rFonts w:hint="eastAsia"/>
                <w:color w:val="auto"/>
                <w:sz w:val="18"/>
                <w:szCs w:val="18"/>
              </w:rPr>
              <w:t>宣传部</w:t>
            </w:r>
          </w:p>
        </w:tc>
        <w:tc>
          <w:tcPr>
            <w:tcW w:w="1122" w:type="dxa"/>
            <w:vAlign w:val="center"/>
          </w:tcPr>
          <w:p>
            <w:pPr>
              <w:spacing w:line="320" w:lineRule="exact"/>
              <w:jc w:val="center"/>
              <w:rPr>
                <w:color w:val="auto"/>
                <w:sz w:val="18"/>
                <w:szCs w:val="18"/>
              </w:rPr>
            </w:pPr>
            <w:r>
              <w:rPr>
                <w:rFonts w:hint="eastAsia"/>
                <w:color w:val="auto"/>
                <w:sz w:val="18"/>
                <w:szCs w:val="18"/>
              </w:rPr>
              <w:t>各单位、二级学院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5" w:hRule="atLeast"/>
          <w:jc w:val="center"/>
        </w:trPr>
        <w:tc>
          <w:tcPr>
            <w:tcW w:w="1608" w:type="dxa"/>
            <w:vAlign w:val="center"/>
          </w:tcPr>
          <w:p>
            <w:pPr>
              <w:spacing w:line="320" w:lineRule="exact"/>
              <w:jc w:val="left"/>
              <w:rPr>
                <w:rFonts w:ascii="楷体_GB2312" w:hAnsi="楷体_GB2312" w:eastAsia="楷体_GB2312" w:cs="楷体_GB2312"/>
                <w:b/>
                <w:bCs/>
                <w:color w:val="auto"/>
                <w:szCs w:val="21"/>
              </w:rPr>
            </w:pPr>
            <w:r>
              <w:rPr>
                <w:rFonts w:ascii="楷体_GB2312" w:hAnsi="楷体_GB2312" w:eastAsia="楷体_GB2312" w:cs="楷体_GB2312"/>
                <w:b/>
                <w:bCs/>
                <w:color w:val="auto"/>
                <w:szCs w:val="21"/>
              </w:rPr>
              <w:t>29.</w:t>
            </w:r>
            <w:r>
              <w:rPr>
                <w:rFonts w:hint="eastAsia" w:ascii="楷体_GB2312" w:hAnsi="楷体_GB2312" w:eastAsia="楷体_GB2312" w:cs="楷体_GB2312"/>
                <w:b/>
                <w:bCs/>
                <w:color w:val="auto"/>
                <w:szCs w:val="21"/>
              </w:rPr>
              <w:t>加强对外交流与合作。</w:t>
            </w:r>
          </w:p>
        </w:tc>
        <w:tc>
          <w:tcPr>
            <w:tcW w:w="4182" w:type="dxa"/>
            <w:vAlign w:val="center"/>
          </w:tcPr>
          <w:p>
            <w:pPr>
              <w:widowControl/>
              <w:spacing w:line="320" w:lineRule="exact"/>
              <w:rPr>
                <w:rFonts w:ascii="楷体_GB2312" w:hAnsi="楷体_GB2312" w:eastAsia="楷体_GB2312" w:cs="楷体_GB2312"/>
                <w:color w:val="auto"/>
                <w:szCs w:val="21"/>
              </w:rPr>
            </w:pPr>
            <w:r>
              <w:rPr>
                <w:rFonts w:hint="eastAsia" w:ascii="楷体_GB2312" w:hAnsi="楷体_GB2312" w:eastAsia="楷体_GB2312" w:cs="楷体_GB2312"/>
                <w:color w:val="auto"/>
                <w:szCs w:val="21"/>
              </w:rPr>
              <w:t>①推进与“一带一路”沿线国家教育合作，</w:t>
            </w:r>
            <w:r>
              <w:rPr>
                <w:rFonts w:hint="eastAsia" w:ascii="楷体_GB2312" w:hAnsi="楷体_GB2312" w:eastAsia="楷体_GB2312" w:cs="楷体_GB2312"/>
                <w:color w:val="auto"/>
                <w:szCs w:val="21"/>
                <w:lang w:eastAsia="zh-CN"/>
              </w:rPr>
              <w:t>加大宣传力度，争取在招收留学生方面有所突破；②</w:t>
            </w:r>
            <w:r>
              <w:rPr>
                <w:rFonts w:hint="eastAsia" w:ascii="楷体_GB2312" w:hAnsi="楷体_GB2312" w:eastAsia="楷体_GB2312" w:cs="楷体_GB2312"/>
                <w:color w:val="auto"/>
                <w:szCs w:val="21"/>
              </w:rPr>
              <w:t>申报与美国等有关高校的</w:t>
            </w:r>
            <w:r>
              <w:rPr>
                <w:rFonts w:hint="eastAsia" w:ascii="楷体_GB2312" w:hAnsi="楷体_GB2312" w:eastAsia="楷体_GB2312" w:cs="楷体_GB2312"/>
                <w:color w:val="auto"/>
                <w:szCs w:val="21"/>
                <w:lang w:eastAsia="zh-CN"/>
              </w:rPr>
              <w:t>中外</w:t>
            </w:r>
            <w:r>
              <w:rPr>
                <w:rFonts w:hint="eastAsia" w:ascii="楷体_GB2312" w:hAnsi="楷体_GB2312" w:eastAsia="楷体_GB2312" w:cs="楷体_GB2312"/>
                <w:color w:val="auto"/>
                <w:szCs w:val="21"/>
              </w:rPr>
              <w:t>合作办学</w:t>
            </w:r>
            <w:r>
              <w:rPr>
                <w:rFonts w:hint="eastAsia" w:ascii="楷体_GB2312" w:hAnsi="楷体_GB2312" w:eastAsia="楷体_GB2312" w:cs="楷体_GB2312"/>
                <w:color w:val="auto"/>
                <w:szCs w:val="21"/>
                <w:lang w:eastAsia="zh-CN"/>
              </w:rPr>
              <w:t>项目；③</w:t>
            </w:r>
            <w:r>
              <w:rPr>
                <w:rFonts w:hint="eastAsia" w:ascii="楷体_GB2312" w:hAnsi="楷体_GB2312" w:eastAsia="楷体_GB2312" w:cs="楷体_GB2312"/>
                <w:color w:val="auto"/>
                <w:szCs w:val="21"/>
              </w:rPr>
              <w:t>推进学生出国攻读硕士学位（</w:t>
            </w:r>
            <w:r>
              <w:rPr>
                <w:rFonts w:ascii="楷体_GB2312" w:hAnsi="楷体_GB2312" w:eastAsia="楷体_GB2312" w:cs="楷体_GB2312"/>
                <w:color w:val="auto"/>
                <w:szCs w:val="21"/>
              </w:rPr>
              <w:t>3+1+1</w:t>
            </w:r>
            <w:r>
              <w:rPr>
                <w:rFonts w:hint="eastAsia" w:ascii="楷体_GB2312" w:hAnsi="楷体_GB2312" w:eastAsia="楷体_GB2312" w:cs="楷体_GB2312"/>
                <w:color w:val="auto"/>
                <w:szCs w:val="21"/>
              </w:rPr>
              <w:t>、</w:t>
            </w:r>
            <w:r>
              <w:rPr>
                <w:rFonts w:ascii="楷体_GB2312" w:hAnsi="楷体_GB2312" w:eastAsia="楷体_GB2312" w:cs="楷体_GB2312"/>
                <w:color w:val="auto"/>
                <w:szCs w:val="21"/>
              </w:rPr>
              <w:t>3+1+2</w:t>
            </w:r>
            <w:r>
              <w:rPr>
                <w:rFonts w:hint="eastAsia" w:ascii="楷体_GB2312" w:hAnsi="楷体_GB2312" w:eastAsia="楷体_GB2312" w:cs="楷体_GB2312"/>
                <w:color w:val="auto"/>
                <w:szCs w:val="21"/>
              </w:rPr>
              <w:t>）项目，鼓励教师开展国际学术交流；</w:t>
            </w:r>
            <w:r>
              <w:rPr>
                <w:rFonts w:hint="eastAsia" w:ascii="楷体_GB2312" w:hAnsi="楷体_GB2312" w:eastAsia="楷体_GB2312" w:cs="楷体_GB2312"/>
                <w:color w:val="auto"/>
                <w:szCs w:val="21"/>
                <w:lang w:eastAsia="zh-CN"/>
              </w:rPr>
              <w:t>④</w:t>
            </w:r>
            <w:r>
              <w:rPr>
                <w:rFonts w:hint="eastAsia" w:ascii="楷体_GB2312" w:hAnsi="楷体_GB2312" w:eastAsia="楷体_GB2312" w:cs="楷体_GB2312"/>
                <w:color w:val="auto"/>
                <w:szCs w:val="21"/>
              </w:rPr>
              <w:t>推广学生短期出国学习、游学或参加竞赛等项目</w:t>
            </w:r>
            <w:r>
              <w:rPr>
                <w:rFonts w:hint="eastAsia" w:eastAsia="仿宋_GB2312"/>
                <w:color w:val="auto"/>
                <w:sz w:val="30"/>
                <w:szCs w:val="30"/>
              </w:rPr>
              <w:t>。</w:t>
            </w:r>
            <w:r>
              <w:rPr>
                <w:rFonts w:hint="eastAsia" w:ascii="楷体_GB2312" w:hAnsi="楷体_GB2312" w:eastAsia="楷体_GB2312" w:cs="楷体_GB2312"/>
                <w:color w:val="auto"/>
                <w:szCs w:val="21"/>
                <w:lang w:eastAsia="zh-CN"/>
              </w:rPr>
              <w:t>⑤</w:t>
            </w:r>
            <w:r>
              <w:rPr>
                <w:rFonts w:hint="eastAsia" w:ascii="楷体_GB2312" w:hAnsi="楷体_GB2312" w:eastAsia="楷体_GB2312" w:cs="楷体_GB2312"/>
                <w:color w:val="auto"/>
                <w:szCs w:val="21"/>
              </w:rPr>
              <w:t>积极开展国际性文化交流，完善国际交流及出访、留学生管理有关规章制度。</w:t>
            </w:r>
          </w:p>
        </w:tc>
        <w:tc>
          <w:tcPr>
            <w:tcW w:w="4708" w:type="dxa"/>
            <w:vAlign w:val="center"/>
          </w:tcPr>
          <w:p>
            <w:pPr>
              <w:widowControl/>
              <w:spacing w:line="320" w:lineRule="exact"/>
              <w:jc w:val="both"/>
              <w:rPr>
                <w:rFonts w:ascii="宋体" w:cs="宋体"/>
                <w:color w:val="auto"/>
                <w:szCs w:val="21"/>
              </w:rPr>
            </w:pPr>
          </w:p>
        </w:tc>
        <w:tc>
          <w:tcPr>
            <w:tcW w:w="1395" w:type="dxa"/>
            <w:vAlign w:val="center"/>
          </w:tcPr>
          <w:p>
            <w:pPr>
              <w:widowControl/>
              <w:spacing w:line="320" w:lineRule="exact"/>
              <w:jc w:val="center"/>
              <w:rPr>
                <w:rFonts w:hint="eastAsia" w:ascii="宋体" w:hAnsi="宋体" w:cs="宋体"/>
                <w:color w:val="auto"/>
                <w:szCs w:val="21"/>
              </w:rPr>
            </w:pPr>
          </w:p>
        </w:tc>
        <w:tc>
          <w:tcPr>
            <w:tcW w:w="1110" w:type="dxa"/>
            <w:vAlign w:val="center"/>
          </w:tcPr>
          <w:p>
            <w:pPr>
              <w:spacing w:line="320" w:lineRule="exact"/>
              <w:jc w:val="center"/>
              <w:rPr>
                <w:color w:val="auto"/>
                <w:sz w:val="18"/>
                <w:szCs w:val="18"/>
              </w:rPr>
            </w:pPr>
            <w:r>
              <w:rPr>
                <w:rFonts w:hint="eastAsia"/>
                <w:color w:val="auto"/>
                <w:sz w:val="18"/>
                <w:szCs w:val="18"/>
              </w:rPr>
              <w:t>国际交流与合作处</w:t>
            </w:r>
          </w:p>
        </w:tc>
        <w:tc>
          <w:tcPr>
            <w:tcW w:w="1122" w:type="dxa"/>
            <w:vAlign w:val="center"/>
          </w:tcPr>
          <w:p>
            <w:pPr>
              <w:spacing w:line="320" w:lineRule="exact"/>
              <w:jc w:val="center"/>
              <w:rPr>
                <w:color w:val="auto"/>
                <w:sz w:val="18"/>
                <w:szCs w:val="18"/>
              </w:rPr>
            </w:pPr>
            <w:r>
              <w:rPr>
                <w:rFonts w:hint="eastAsia"/>
                <w:color w:val="auto"/>
                <w:sz w:val="18"/>
                <w:szCs w:val="18"/>
              </w:rPr>
              <w:t>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1608" w:type="dxa"/>
            <w:vMerge w:val="restart"/>
            <w:vAlign w:val="center"/>
          </w:tcPr>
          <w:p>
            <w:pPr>
              <w:spacing w:line="320" w:lineRule="exact"/>
              <w:jc w:val="left"/>
              <w:rPr>
                <w:rFonts w:ascii="楷体_GB2312" w:hAnsi="楷体_GB2312" w:eastAsia="楷体_GB2312" w:cs="楷体_GB2312"/>
                <w:b/>
                <w:bCs/>
                <w:color w:val="auto"/>
                <w:szCs w:val="21"/>
              </w:rPr>
            </w:pPr>
          </w:p>
          <w:p>
            <w:pPr>
              <w:spacing w:line="320" w:lineRule="exact"/>
              <w:jc w:val="left"/>
              <w:rPr>
                <w:rFonts w:ascii="楷体_GB2312" w:hAnsi="楷体_GB2312" w:eastAsia="楷体_GB2312" w:cs="楷体_GB2312"/>
                <w:b/>
                <w:bCs/>
                <w:color w:val="auto"/>
                <w:szCs w:val="21"/>
              </w:rPr>
            </w:pPr>
          </w:p>
          <w:p>
            <w:pPr>
              <w:spacing w:line="320" w:lineRule="exact"/>
              <w:jc w:val="left"/>
              <w:rPr>
                <w:rStyle w:val="6"/>
                <w:rFonts w:ascii="楷体_GB2312" w:hAnsi="楷体_GB2312" w:eastAsia="楷体_GB2312" w:cs="楷体_GB2312"/>
                <w:color w:val="auto"/>
                <w:szCs w:val="21"/>
              </w:rPr>
            </w:pPr>
            <w:r>
              <w:rPr>
                <w:rFonts w:ascii="楷体_GB2312" w:hAnsi="楷体_GB2312" w:eastAsia="楷体_GB2312" w:cs="楷体_GB2312"/>
                <w:b/>
                <w:bCs/>
                <w:color w:val="auto"/>
                <w:szCs w:val="21"/>
              </w:rPr>
              <w:t>30.</w:t>
            </w:r>
            <w:r>
              <w:rPr>
                <w:rFonts w:hint="eastAsia" w:ascii="楷体_GB2312" w:hAnsi="楷体_GB2312" w:eastAsia="楷体_GB2312" w:cs="楷体_GB2312"/>
                <w:b/>
                <w:bCs/>
                <w:color w:val="auto"/>
                <w:szCs w:val="21"/>
              </w:rPr>
              <w:t>完善内部治理结构。</w:t>
            </w:r>
          </w:p>
        </w:tc>
        <w:tc>
          <w:tcPr>
            <w:tcW w:w="4182" w:type="dxa"/>
            <w:vAlign w:val="center"/>
          </w:tcPr>
          <w:p>
            <w:pPr>
              <w:spacing w:line="320" w:lineRule="exact"/>
              <w:rPr>
                <w:rFonts w:ascii="楷体_GB2312" w:hAnsi="楷体_GB2312" w:eastAsia="楷体_GB2312" w:cs="楷体_GB2312"/>
                <w:color w:val="auto"/>
                <w:szCs w:val="21"/>
              </w:rPr>
            </w:pPr>
            <w:r>
              <w:rPr>
                <w:rFonts w:hint="eastAsia" w:ascii="楷体_GB2312" w:hAnsi="楷体_GB2312" w:eastAsia="楷体_GB2312" w:cs="楷体_GB2312"/>
                <w:color w:val="auto"/>
                <w:szCs w:val="21"/>
              </w:rPr>
              <w:t>①完善以章程为核心的现代大学制度建设，坚持党委领导下的校长负责制，落实依法、依规、依章治校。②继续开展规范性文件“废、改、立、释”和制度全覆盖工作，加强重大决策出台前的前期调研、专家论证、公众参与、风险评估、合法性审查。</w:t>
            </w:r>
          </w:p>
        </w:tc>
        <w:tc>
          <w:tcPr>
            <w:tcW w:w="4708" w:type="dxa"/>
            <w:vAlign w:val="center"/>
          </w:tcPr>
          <w:p>
            <w:pPr>
              <w:spacing w:line="320" w:lineRule="exact"/>
              <w:jc w:val="center"/>
              <w:rPr>
                <w:rFonts w:ascii="宋体" w:cs="宋体"/>
                <w:color w:val="auto"/>
                <w:szCs w:val="21"/>
              </w:rPr>
            </w:pPr>
          </w:p>
        </w:tc>
        <w:tc>
          <w:tcPr>
            <w:tcW w:w="1395" w:type="dxa"/>
            <w:vAlign w:val="center"/>
          </w:tcPr>
          <w:p>
            <w:pPr>
              <w:spacing w:line="320" w:lineRule="exact"/>
              <w:jc w:val="center"/>
              <w:rPr>
                <w:rFonts w:hint="eastAsia" w:ascii="宋体" w:hAnsi="宋体" w:cs="宋体"/>
                <w:color w:val="auto"/>
                <w:szCs w:val="21"/>
              </w:rPr>
            </w:pPr>
          </w:p>
        </w:tc>
        <w:tc>
          <w:tcPr>
            <w:tcW w:w="1110" w:type="dxa"/>
            <w:vAlign w:val="center"/>
          </w:tcPr>
          <w:p>
            <w:pPr>
              <w:spacing w:line="320" w:lineRule="exact"/>
              <w:jc w:val="center"/>
              <w:rPr>
                <w:color w:val="auto"/>
                <w:sz w:val="18"/>
                <w:szCs w:val="18"/>
              </w:rPr>
            </w:pPr>
            <w:r>
              <w:rPr>
                <w:rFonts w:hint="eastAsia"/>
                <w:color w:val="auto"/>
                <w:sz w:val="18"/>
                <w:szCs w:val="18"/>
              </w:rPr>
              <w:t>办公室</w:t>
            </w:r>
          </w:p>
          <w:p>
            <w:pPr>
              <w:spacing w:line="320" w:lineRule="exact"/>
              <w:jc w:val="center"/>
              <w:rPr>
                <w:color w:val="auto"/>
                <w:sz w:val="18"/>
                <w:szCs w:val="18"/>
              </w:rPr>
            </w:pPr>
            <w:r>
              <w:rPr>
                <w:rFonts w:hint="eastAsia"/>
                <w:color w:val="auto"/>
                <w:sz w:val="18"/>
                <w:szCs w:val="18"/>
              </w:rPr>
              <w:t>发展规划处</w:t>
            </w:r>
          </w:p>
          <w:p>
            <w:pPr>
              <w:spacing w:line="320" w:lineRule="exact"/>
              <w:jc w:val="center"/>
              <w:rPr>
                <w:color w:val="auto"/>
                <w:sz w:val="18"/>
                <w:szCs w:val="18"/>
              </w:rPr>
            </w:pPr>
          </w:p>
        </w:tc>
        <w:tc>
          <w:tcPr>
            <w:tcW w:w="1122" w:type="dxa"/>
            <w:vAlign w:val="center"/>
          </w:tcPr>
          <w:p>
            <w:pPr>
              <w:spacing w:line="320" w:lineRule="exact"/>
              <w:jc w:val="center"/>
              <w:rPr>
                <w:color w:val="auto"/>
                <w:sz w:val="18"/>
                <w:szCs w:val="18"/>
              </w:rPr>
            </w:pPr>
            <w:r>
              <w:rPr>
                <w:rFonts w:hint="eastAsia"/>
                <w:color w:val="auto"/>
                <w:sz w:val="18"/>
                <w:szCs w:val="18"/>
              </w:rPr>
              <w:t>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5" w:hRule="atLeast"/>
          <w:jc w:val="center"/>
        </w:trPr>
        <w:tc>
          <w:tcPr>
            <w:tcW w:w="1608" w:type="dxa"/>
            <w:vMerge w:val="continue"/>
            <w:vAlign w:val="center"/>
          </w:tcPr>
          <w:p>
            <w:pPr>
              <w:spacing w:line="320" w:lineRule="exact"/>
              <w:jc w:val="left"/>
              <w:rPr>
                <w:rFonts w:ascii="楷体_GB2312" w:hAnsi="楷体_GB2312" w:eastAsia="楷体_GB2312" w:cs="楷体_GB2312"/>
                <w:b/>
                <w:bCs/>
                <w:color w:val="auto"/>
                <w:szCs w:val="21"/>
              </w:rPr>
            </w:pPr>
          </w:p>
        </w:tc>
        <w:tc>
          <w:tcPr>
            <w:tcW w:w="4182" w:type="dxa"/>
            <w:vAlign w:val="center"/>
          </w:tcPr>
          <w:p>
            <w:pPr>
              <w:spacing w:line="320" w:lineRule="exact"/>
              <w:rPr>
                <w:rFonts w:ascii="楷体_GB2312" w:hAnsi="楷体_GB2312" w:eastAsia="楷体_GB2312" w:cs="楷体_GB2312"/>
                <w:color w:val="auto"/>
                <w:szCs w:val="21"/>
              </w:rPr>
            </w:pPr>
            <w:r>
              <w:rPr>
                <w:rFonts w:hint="eastAsia" w:ascii="楷体_GB2312" w:hAnsi="楷体_GB2312" w:eastAsia="楷体_GB2312" w:cs="楷体_GB2312"/>
                <w:color w:val="auto"/>
                <w:szCs w:val="21"/>
              </w:rPr>
              <w:t>③依法依规保障教职工合法权益，出台教职工申诉办法，修订教职工困难帮扶慰问实施办法等管理规定；④进一步落实二级教代会制度，充分发挥教代会、工代会在促进学校民主管理中的作用。</w:t>
            </w:r>
          </w:p>
        </w:tc>
        <w:tc>
          <w:tcPr>
            <w:tcW w:w="4708" w:type="dxa"/>
            <w:vAlign w:val="center"/>
          </w:tcPr>
          <w:p>
            <w:pPr>
              <w:spacing w:line="320" w:lineRule="exact"/>
              <w:jc w:val="center"/>
              <w:rPr>
                <w:rFonts w:ascii="宋体" w:cs="宋体"/>
                <w:color w:val="auto"/>
                <w:szCs w:val="21"/>
              </w:rPr>
            </w:pPr>
          </w:p>
        </w:tc>
        <w:tc>
          <w:tcPr>
            <w:tcW w:w="1395" w:type="dxa"/>
            <w:vAlign w:val="center"/>
          </w:tcPr>
          <w:p>
            <w:pPr>
              <w:spacing w:line="320" w:lineRule="exact"/>
              <w:jc w:val="center"/>
              <w:rPr>
                <w:rFonts w:hint="eastAsia" w:ascii="宋体" w:hAnsi="宋体" w:cs="宋体"/>
                <w:color w:val="auto"/>
                <w:szCs w:val="21"/>
              </w:rPr>
            </w:pPr>
          </w:p>
        </w:tc>
        <w:tc>
          <w:tcPr>
            <w:tcW w:w="1110" w:type="dxa"/>
            <w:vAlign w:val="center"/>
          </w:tcPr>
          <w:p>
            <w:pPr>
              <w:spacing w:line="320" w:lineRule="exact"/>
              <w:jc w:val="center"/>
              <w:rPr>
                <w:color w:val="auto"/>
                <w:sz w:val="18"/>
                <w:szCs w:val="18"/>
              </w:rPr>
            </w:pPr>
            <w:r>
              <w:rPr>
                <w:rFonts w:hint="eastAsia"/>
                <w:color w:val="auto"/>
                <w:sz w:val="18"/>
                <w:szCs w:val="18"/>
              </w:rPr>
              <w:t>工</w:t>
            </w:r>
            <w:r>
              <w:rPr>
                <w:color w:val="auto"/>
                <w:sz w:val="18"/>
                <w:szCs w:val="18"/>
              </w:rPr>
              <w:t xml:space="preserve">  </w:t>
            </w:r>
            <w:r>
              <w:rPr>
                <w:rFonts w:hint="eastAsia"/>
                <w:color w:val="auto"/>
                <w:sz w:val="18"/>
                <w:szCs w:val="18"/>
              </w:rPr>
              <w:t>会</w:t>
            </w:r>
          </w:p>
        </w:tc>
        <w:tc>
          <w:tcPr>
            <w:tcW w:w="1122" w:type="dxa"/>
            <w:vAlign w:val="center"/>
          </w:tcPr>
          <w:p>
            <w:pPr>
              <w:spacing w:line="320" w:lineRule="exact"/>
              <w:jc w:val="center"/>
              <w:rPr>
                <w:color w:val="auto"/>
                <w:sz w:val="18"/>
                <w:szCs w:val="18"/>
              </w:rPr>
            </w:pPr>
            <w:r>
              <w:rPr>
                <w:rFonts w:hint="eastAsia"/>
                <w:color w:val="auto"/>
                <w:sz w:val="18"/>
                <w:szCs w:val="18"/>
              </w:rPr>
              <w:t>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85" w:hRule="atLeast"/>
          <w:jc w:val="center"/>
        </w:trPr>
        <w:tc>
          <w:tcPr>
            <w:tcW w:w="1608" w:type="dxa"/>
            <w:vMerge w:val="continue"/>
            <w:vAlign w:val="center"/>
          </w:tcPr>
          <w:p>
            <w:pPr>
              <w:spacing w:line="320" w:lineRule="exact"/>
              <w:jc w:val="left"/>
              <w:rPr>
                <w:rFonts w:ascii="楷体_GB2312" w:hAnsi="楷体_GB2312" w:eastAsia="楷体_GB2312" w:cs="楷体_GB2312"/>
                <w:b/>
                <w:bCs/>
                <w:color w:val="auto"/>
                <w:szCs w:val="21"/>
              </w:rPr>
            </w:pPr>
          </w:p>
        </w:tc>
        <w:tc>
          <w:tcPr>
            <w:tcW w:w="4182" w:type="dxa"/>
            <w:vAlign w:val="center"/>
          </w:tcPr>
          <w:p>
            <w:pPr>
              <w:spacing w:line="320" w:lineRule="exact"/>
              <w:rPr>
                <w:rFonts w:ascii="楷体_GB2312" w:hAnsi="楷体_GB2312" w:eastAsia="楷体_GB2312" w:cs="楷体_GB2312"/>
                <w:color w:val="auto"/>
                <w:szCs w:val="21"/>
              </w:rPr>
            </w:pPr>
            <w:r>
              <w:rPr>
                <w:rFonts w:hint="eastAsia" w:ascii="楷体_GB2312" w:hAnsi="楷体_GB2312" w:eastAsia="楷体_GB2312" w:cs="楷体_GB2312"/>
                <w:color w:val="auto"/>
                <w:szCs w:val="21"/>
              </w:rPr>
              <w:t>⑤完善校友工作规章制度。</w:t>
            </w:r>
          </w:p>
        </w:tc>
        <w:tc>
          <w:tcPr>
            <w:tcW w:w="4708" w:type="dxa"/>
            <w:vAlign w:val="center"/>
          </w:tcPr>
          <w:p>
            <w:pPr>
              <w:spacing w:line="320" w:lineRule="exact"/>
              <w:jc w:val="center"/>
              <w:rPr>
                <w:rFonts w:ascii="宋体" w:cs="宋体"/>
                <w:color w:val="auto"/>
                <w:szCs w:val="21"/>
              </w:rPr>
            </w:pPr>
          </w:p>
        </w:tc>
        <w:tc>
          <w:tcPr>
            <w:tcW w:w="1395" w:type="dxa"/>
            <w:vAlign w:val="center"/>
          </w:tcPr>
          <w:p>
            <w:pPr>
              <w:spacing w:line="320" w:lineRule="exact"/>
              <w:jc w:val="center"/>
              <w:rPr>
                <w:rFonts w:hint="eastAsia" w:ascii="宋体" w:hAnsi="宋体" w:cs="宋体"/>
                <w:color w:val="auto"/>
                <w:szCs w:val="21"/>
              </w:rPr>
            </w:pPr>
          </w:p>
        </w:tc>
        <w:tc>
          <w:tcPr>
            <w:tcW w:w="1110" w:type="dxa"/>
            <w:vAlign w:val="center"/>
          </w:tcPr>
          <w:p>
            <w:pPr>
              <w:spacing w:line="320" w:lineRule="exact"/>
              <w:jc w:val="center"/>
              <w:rPr>
                <w:color w:val="auto"/>
                <w:sz w:val="18"/>
                <w:szCs w:val="18"/>
              </w:rPr>
            </w:pPr>
            <w:r>
              <w:rPr>
                <w:rFonts w:hint="eastAsia"/>
                <w:color w:val="auto"/>
                <w:sz w:val="18"/>
                <w:szCs w:val="18"/>
              </w:rPr>
              <w:t>发展规划处（校友办）</w:t>
            </w:r>
          </w:p>
        </w:tc>
        <w:tc>
          <w:tcPr>
            <w:tcW w:w="1122" w:type="dxa"/>
            <w:vAlign w:val="center"/>
          </w:tcPr>
          <w:p>
            <w:pPr>
              <w:spacing w:line="320" w:lineRule="exact"/>
              <w:jc w:val="center"/>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5" w:hRule="atLeast"/>
          <w:jc w:val="center"/>
        </w:trPr>
        <w:tc>
          <w:tcPr>
            <w:tcW w:w="1608" w:type="dxa"/>
            <w:vAlign w:val="center"/>
          </w:tcPr>
          <w:p>
            <w:pPr>
              <w:spacing w:line="320" w:lineRule="exact"/>
              <w:jc w:val="left"/>
              <w:rPr>
                <w:rStyle w:val="6"/>
                <w:rFonts w:ascii="楷体_GB2312" w:hAnsi="楷体_GB2312" w:eastAsia="楷体_GB2312" w:cs="楷体_GB2312"/>
                <w:color w:val="auto"/>
                <w:szCs w:val="21"/>
              </w:rPr>
            </w:pPr>
            <w:r>
              <w:rPr>
                <w:rStyle w:val="6"/>
                <w:rFonts w:ascii="楷体_GB2312" w:hAnsi="楷体_GB2312" w:eastAsia="楷体_GB2312" w:cs="楷体_GB2312"/>
                <w:color w:val="auto"/>
                <w:szCs w:val="21"/>
              </w:rPr>
              <w:t>31.</w:t>
            </w:r>
            <w:r>
              <w:rPr>
                <w:rStyle w:val="6"/>
                <w:rFonts w:hint="eastAsia" w:ascii="楷体_GB2312" w:hAnsi="楷体_GB2312" w:eastAsia="楷体_GB2312" w:cs="楷体_GB2312"/>
                <w:color w:val="auto"/>
                <w:szCs w:val="21"/>
              </w:rPr>
              <w:t>继续加强内控建设</w:t>
            </w:r>
            <w:r>
              <w:rPr>
                <w:rFonts w:hint="eastAsia" w:ascii="楷体_GB2312" w:hAnsi="楷体_GB2312" w:eastAsia="楷体_GB2312" w:cs="楷体_GB2312"/>
                <w:b/>
                <w:bCs/>
                <w:color w:val="auto"/>
                <w:szCs w:val="21"/>
              </w:rPr>
              <w:t>。</w:t>
            </w:r>
          </w:p>
        </w:tc>
        <w:tc>
          <w:tcPr>
            <w:tcW w:w="4182" w:type="dxa"/>
            <w:vAlign w:val="center"/>
          </w:tcPr>
          <w:p>
            <w:pPr>
              <w:spacing w:line="320" w:lineRule="exact"/>
              <w:rPr>
                <w:rFonts w:ascii="楷体_GB2312" w:hAnsi="楷体_GB2312" w:eastAsia="楷体_GB2312" w:cs="楷体_GB2312"/>
                <w:color w:val="auto"/>
                <w:szCs w:val="21"/>
              </w:rPr>
            </w:pPr>
            <w:r>
              <w:rPr>
                <w:rFonts w:hint="eastAsia" w:ascii="楷体_GB2312" w:hAnsi="楷体_GB2312" w:eastAsia="楷体_GB2312" w:cs="楷体_GB2312"/>
                <w:color w:val="auto"/>
                <w:szCs w:val="21"/>
              </w:rPr>
              <w:t>①完善财务绩效管理与评价办法，改进预算编制工作，加快预算执行进度。</w:t>
            </w:r>
          </w:p>
          <w:p>
            <w:pPr>
              <w:spacing w:line="320" w:lineRule="exact"/>
              <w:rPr>
                <w:rFonts w:ascii="楷体_GB2312" w:hAnsi="楷体_GB2312" w:eastAsia="楷体_GB2312" w:cs="楷体_GB2312"/>
                <w:color w:val="auto"/>
                <w:szCs w:val="21"/>
              </w:rPr>
            </w:pPr>
            <w:r>
              <w:rPr>
                <w:rFonts w:hint="eastAsia" w:ascii="楷体_GB2312" w:hAnsi="楷体_GB2312" w:eastAsia="楷体_GB2312" w:cs="楷体_GB2312"/>
                <w:color w:val="auto"/>
                <w:szCs w:val="21"/>
              </w:rPr>
              <w:t>②优化各类经济业务流程，提升财务管理水平。</w:t>
            </w:r>
          </w:p>
        </w:tc>
        <w:tc>
          <w:tcPr>
            <w:tcW w:w="4708" w:type="dxa"/>
            <w:vAlign w:val="center"/>
          </w:tcPr>
          <w:p>
            <w:pPr>
              <w:spacing w:line="320" w:lineRule="exact"/>
              <w:jc w:val="center"/>
              <w:rPr>
                <w:rFonts w:ascii="宋体" w:cs="宋体"/>
                <w:color w:val="auto"/>
                <w:szCs w:val="21"/>
              </w:rPr>
            </w:pPr>
          </w:p>
        </w:tc>
        <w:tc>
          <w:tcPr>
            <w:tcW w:w="1395" w:type="dxa"/>
            <w:vAlign w:val="center"/>
          </w:tcPr>
          <w:p>
            <w:pPr>
              <w:spacing w:line="320" w:lineRule="exact"/>
              <w:jc w:val="center"/>
              <w:rPr>
                <w:rFonts w:hint="eastAsia" w:ascii="宋体" w:hAnsi="宋体" w:cs="宋体"/>
                <w:color w:val="auto"/>
                <w:szCs w:val="21"/>
              </w:rPr>
            </w:pPr>
          </w:p>
        </w:tc>
        <w:tc>
          <w:tcPr>
            <w:tcW w:w="1110" w:type="dxa"/>
            <w:vAlign w:val="center"/>
          </w:tcPr>
          <w:p>
            <w:pPr>
              <w:spacing w:line="320" w:lineRule="exact"/>
              <w:jc w:val="center"/>
              <w:rPr>
                <w:color w:val="auto"/>
                <w:sz w:val="18"/>
                <w:szCs w:val="18"/>
              </w:rPr>
            </w:pPr>
            <w:r>
              <w:rPr>
                <w:rFonts w:hint="eastAsia"/>
                <w:color w:val="auto"/>
                <w:sz w:val="18"/>
                <w:szCs w:val="18"/>
              </w:rPr>
              <w:t>财务处</w:t>
            </w:r>
          </w:p>
        </w:tc>
        <w:tc>
          <w:tcPr>
            <w:tcW w:w="1122" w:type="dxa"/>
            <w:vAlign w:val="center"/>
          </w:tcPr>
          <w:p>
            <w:pPr>
              <w:spacing w:line="320" w:lineRule="exact"/>
              <w:jc w:val="center"/>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608" w:type="dxa"/>
            <w:vAlign w:val="center"/>
          </w:tcPr>
          <w:p>
            <w:pPr>
              <w:spacing w:line="320" w:lineRule="exact"/>
              <w:jc w:val="left"/>
              <w:rPr>
                <w:rFonts w:ascii="楷体_GB2312" w:hAnsi="楷体_GB2312" w:eastAsia="楷体_GB2312" w:cs="楷体_GB2312"/>
                <w:b/>
                <w:bCs/>
                <w:color w:val="auto"/>
                <w:kern w:val="0"/>
                <w:szCs w:val="21"/>
              </w:rPr>
            </w:pPr>
            <w:r>
              <w:rPr>
                <w:rStyle w:val="6"/>
                <w:rFonts w:ascii="楷体_GB2312" w:hAnsi="楷体_GB2312" w:eastAsia="楷体_GB2312" w:cs="楷体_GB2312"/>
                <w:color w:val="auto"/>
                <w:szCs w:val="21"/>
              </w:rPr>
              <w:t>32.</w:t>
            </w:r>
            <w:r>
              <w:rPr>
                <w:rStyle w:val="6"/>
                <w:rFonts w:hint="eastAsia" w:ascii="楷体_GB2312" w:hAnsi="楷体_GB2312" w:eastAsia="楷体_GB2312" w:cs="楷体_GB2312"/>
                <w:color w:val="auto"/>
                <w:szCs w:val="21"/>
              </w:rPr>
              <w:t>强化审计监督。</w:t>
            </w:r>
          </w:p>
          <w:p>
            <w:pPr>
              <w:spacing w:line="320" w:lineRule="exact"/>
              <w:jc w:val="left"/>
              <w:rPr>
                <w:rStyle w:val="6"/>
                <w:rFonts w:ascii="楷体_GB2312" w:hAnsi="楷体_GB2312" w:eastAsia="楷体_GB2312" w:cs="楷体_GB2312"/>
                <w:color w:val="auto"/>
                <w:szCs w:val="21"/>
              </w:rPr>
            </w:pPr>
          </w:p>
        </w:tc>
        <w:tc>
          <w:tcPr>
            <w:tcW w:w="4182" w:type="dxa"/>
            <w:vAlign w:val="center"/>
          </w:tcPr>
          <w:p>
            <w:pPr>
              <w:spacing w:line="320" w:lineRule="exact"/>
              <w:rPr>
                <w:rFonts w:ascii="楷体_GB2312" w:hAnsi="楷体_GB2312" w:eastAsia="楷体_GB2312" w:cs="楷体_GB2312"/>
                <w:color w:val="auto"/>
                <w:szCs w:val="21"/>
              </w:rPr>
            </w:pPr>
            <w:r>
              <w:rPr>
                <w:rFonts w:hint="eastAsia" w:ascii="楷体_GB2312" w:hAnsi="楷体_GB2312" w:eastAsia="楷体_GB2312" w:cs="楷体_GB2312"/>
                <w:color w:val="auto"/>
                <w:szCs w:val="21"/>
              </w:rPr>
              <w:t>①开展预算执行和财务收支年度全覆盖审计、中层干部离任经济责任审计等专项审计，完成省审计厅对学校经济责任审计反馈问题整改工作。</w:t>
            </w:r>
          </w:p>
          <w:p>
            <w:pPr>
              <w:spacing w:line="320" w:lineRule="exact"/>
              <w:rPr>
                <w:rFonts w:ascii="楷体_GB2312" w:hAnsi="楷体_GB2312" w:eastAsia="楷体_GB2312" w:cs="楷体_GB2312"/>
                <w:color w:val="auto"/>
                <w:szCs w:val="21"/>
              </w:rPr>
            </w:pPr>
            <w:r>
              <w:rPr>
                <w:rFonts w:hint="eastAsia" w:ascii="楷体_GB2312" w:hAnsi="楷体_GB2312" w:eastAsia="楷体_GB2312" w:cs="楷体_GB2312"/>
                <w:color w:val="auto"/>
                <w:szCs w:val="21"/>
              </w:rPr>
              <w:t>②加强对基建维修工程、政府采购和招投标项目、科研经费使用等重点领域和关键环节的监督。</w:t>
            </w:r>
          </w:p>
        </w:tc>
        <w:tc>
          <w:tcPr>
            <w:tcW w:w="4708" w:type="dxa"/>
            <w:vAlign w:val="center"/>
          </w:tcPr>
          <w:p>
            <w:pPr>
              <w:spacing w:line="320" w:lineRule="exact"/>
              <w:jc w:val="center"/>
              <w:rPr>
                <w:rFonts w:ascii="宋体" w:cs="宋体"/>
                <w:color w:val="auto"/>
                <w:szCs w:val="21"/>
              </w:rPr>
            </w:pPr>
          </w:p>
        </w:tc>
        <w:tc>
          <w:tcPr>
            <w:tcW w:w="1395" w:type="dxa"/>
            <w:vAlign w:val="center"/>
          </w:tcPr>
          <w:p>
            <w:pPr>
              <w:spacing w:line="320" w:lineRule="exact"/>
              <w:jc w:val="center"/>
              <w:rPr>
                <w:rFonts w:hint="eastAsia" w:ascii="宋体" w:hAnsi="宋体" w:cs="宋体"/>
                <w:color w:val="auto"/>
                <w:szCs w:val="21"/>
              </w:rPr>
            </w:pPr>
          </w:p>
        </w:tc>
        <w:tc>
          <w:tcPr>
            <w:tcW w:w="1110" w:type="dxa"/>
            <w:vAlign w:val="center"/>
          </w:tcPr>
          <w:p>
            <w:pPr>
              <w:spacing w:line="320" w:lineRule="exact"/>
              <w:jc w:val="center"/>
              <w:rPr>
                <w:color w:val="auto"/>
                <w:sz w:val="18"/>
                <w:szCs w:val="18"/>
              </w:rPr>
            </w:pPr>
            <w:r>
              <w:rPr>
                <w:rFonts w:hint="eastAsia"/>
                <w:color w:val="auto"/>
                <w:sz w:val="18"/>
                <w:szCs w:val="18"/>
              </w:rPr>
              <w:t>审计处</w:t>
            </w:r>
          </w:p>
        </w:tc>
        <w:tc>
          <w:tcPr>
            <w:tcW w:w="1122" w:type="dxa"/>
            <w:vAlign w:val="center"/>
          </w:tcPr>
          <w:p>
            <w:pPr>
              <w:spacing w:line="320" w:lineRule="exact"/>
              <w:jc w:val="center"/>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608" w:type="dxa"/>
            <w:vAlign w:val="center"/>
          </w:tcPr>
          <w:p>
            <w:pPr>
              <w:spacing w:line="320" w:lineRule="exact"/>
              <w:jc w:val="left"/>
              <w:rPr>
                <w:rStyle w:val="6"/>
                <w:rFonts w:ascii="楷体_GB2312" w:hAnsi="楷体_GB2312" w:eastAsia="楷体_GB2312" w:cs="楷体_GB2312"/>
                <w:color w:val="auto"/>
                <w:szCs w:val="21"/>
              </w:rPr>
            </w:pPr>
            <w:r>
              <w:rPr>
                <w:rStyle w:val="6"/>
                <w:rFonts w:ascii="楷体_GB2312" w:hAnsi="楷体_GB2312" w:eastAsia="楷体_GB2312" w:cs="楷体_GB2312"/>
                <w:color w:val="auto"/>
                <w:szCs w:val="21"/>
              </w:rPr>
              <w:t>33.</w:t>
            </w:r>
            <w:r>
              <w:rPr>
                <w:rStyle w:val="6"/>
                <w:rFonts w:hint="eastAsia" w:ascii="楷体_GB2312" w:hAnsi="楷体_GB2312" w:eastAsia="楷体_GB2312" w:cs="楷体_GB2312"/>
                <w:color w:val="auto"/>
                <w:szCs w:val="21"/>
              </w:rPr>
              <w:t>加强资产管理工作。</w:t>
            </w:r>
          </w:p>
        </w:tc>
        <w:tc>
          <w:tcPr>
            <w:tcW w:w="4182" w:type="dxa"/>
            <w:vAlign w:val="center"/>
          </w:tcPr>
          <w:p>
            <w:pPr>
              <w:widowControl/>
              <w:spacing w:line="320" w:lineRule="exact"/>
              <w:rPr>
                <w:rFonts w:ascii="楷体_GB2312" w:hAnsi="楷体_GB2312" w:eastAsia="楷体_GB2312" w:cs="楷体_GB2312"/>
                <w:color w:val="auto"/>
                <w:szCs w:val="21"/>
              </w:rPr>
            </w:pPr>
            <w:r>
              <w:rPr>
                <w:rFonts w:hint="eastAsia" w:ascii="楷体_GB2312" w:hAnsi="楷体_GB2312" w:eastAsia="楷体_GB2312" w:cs="楷体_GB2312"/>
                <w:color w:val="auto"/>
                <w:szCs w:val="21"/>
              </w:rPr>
              <w:t>①盘活房产资源，做好西校区办公用房的功能调整及腾空房分配工作；做好实习实训楼及教学楼、逸夫楼资源整合</w:t>
            </w:r>
            <w:r>
              <w:rPr>
                <w:rFonts w:hint="eastAsia" w:ascii="楷体_GB2312" w:hAnsi="楷体_GB2312" w:eastAsia="楷体_GB2312" w:cs="楷体_GB2312"/>
                <w:color w:val="auto"/>
                <w:szCs w:val="21"/>
                <w:lang w:eastAsia="zh-CN"/>
              </w:rPr>
              <w:t>；</w:t>
            </w:r>
          </w:p>
          <w:p>
            <w:pPr>
              <w:widowControl/>
              <w:spacing w:line="320" w:lineRule="exact"/>
              <w:rPr>
                <w:rFonts w:ascii="楷体_GB2312" w:hAnsi="楷体_GB2312" w:eastAsia="楷体_GB2312" w:cs="楷体_GB2312"/>
                <w:color w:val="auto"/>
                <w:szCs w:val="21"/>
              </w:rPr>
            </w:pPr>
            <w:r>
              <w:rPr>
                <w:rFonts w:hint="eastAsia" w:ascii="楷体_GB2312" w:hAnsi="楷体_GB2312" w:eastAsia="楷体_GB2312" w:cs="楷体_GB2312"/>
                <w:color w:val="auto"/>
                <w:szCs w:val="21"/>
              </w:rPr>
              <w:t>②规范做好各类采购项目的招投标工作，提高采购工作效率</w:t>
            </w:r>
            <w:r>
              <w:rPr>
                <w:rFonts w:hint="eastAsia" w:ascii="楷体_GB2312" w:hAnsi="楷体_GB2312" w:eastAsia="楷体_GB2312" w:cs="楷体_GB2312"/>
                <w:color w:val="auto"/>
                <w:szCs w:val="21"/>
                <w:lang w:eastAsia="zh-CN"/>
              </w:rPr>
              <w:t>；</w:t>
            </w:r>
          </w:p>
          <w:p>
            <w:pPr>
              <w:widowControl/>
              <w:spacing w:line="32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③加快废旧固定资产处置工作，加强固定资产盘存与管理</w:t>
            </w:r>
            <w:r>
              <w:rPr>
                <w:rFonts w:hint="eastAsia" w:ascii="楷体_GB2312" w:hAnsi="楷体_GB2312" w:eastAsia="楷体_GB2312" w:cs="楷体_GB2312"/>
                <w:color w:val="auto"/>
                <w:szCs w:val="21"/>
                <w:lang w:eastAsia="zh-CN"/>
              </w:rPr>
              <w:t>；</w:t>
            </w:r>
          </w:p>
          <w:p>
            <w:pPr>
              <w:widowControl/>
              <w:spacing w:line="320" w:lineRule="exact"/>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eastAsia="zh-CN"/>
              </w:rPr>
              <w:t>④</w:t>
            </w:r>
            <w:r>
              <w:rPr>
                <w:rFonts w:hint="eastAsia" w:ascii="楷体_GB2312" w:hAnsi="楷体_GB2312" w:eastAsia="楷体_GB2312" w:cs="楷体_GB2312"/>
                <w:color w:val="auto"/>
                <w:szCs w:val="21"/>
              </w:rPr>
              <w:t>加快房屋产权证的办理</w:t>
            </w:r>
            <w:r>
              <w:rPr>
                <w:rFonts w:hint="eastAsia" w:ascii="楷体_GB2312" w:hAnsi="楷体_GB2312" w:eastAsia="楷体_GB2312" w:cs="楷体_GB2312"/>
                <w:color w:val="auto"/>
                <w:szCs w:val="21"/>
                <w:lang w:eastAsia="zh-CN"/>
              </w:rPr>
              <w:t>。</w:t>
            </w:r>
          </w:p>
        </w:tc>
        <w:tc>
          <w:tcPr>
            <w:tcW w:w="4708" w:type="dxa"/>
            <w:vAlign w:val="center"/>
          </w:tcPr>
          <w:p>
            <w:pPr>
              <w:widowControl/>
              <w:spacing w:line="320" w:lineRule="exact"/>
              <w:jc w:val="center"/>
              <w:rPr>
                <w:rFonts w:ascii="宋体" w:cs="宋体"/>
                <w:color w:val="auto"/>
                <w:szCs w:val="21"/>
              </w:rPr>
            </w:pPr>
          </w:p>
        </w:tc>
        <w:tc>
          <w:tcPr>
            <w:tcW w:w="1395" w:type="dxa"/>
            <w:vAlign w:val="center"/>
          </w:tcPr>
          <w:p>
            <w:pPr>
              <w:widowControl/>
              <w:spacing w:line="320" w:lineRule="exact"/>
              <w:jc w:val="center"/>
              <w:rPr>
                <w:rFonts w:hint="eastAsia" w:ascii="宋体" w:hAnsi="宋体" w:cs="宋体"/>
                <w:color w:val="auto"/>
                <w:szCs w:val="21"/>
              </w:rPr>
            </w:pPr>
          </w:p>
        </w:tc>
        <w:tc>
          <w:tcPr>
            <w:tcW w:w="1110" w:type="dxa"/>
            <w:vAlign w:val="center"/>
          </w:tcPr>
          <w:p>
            <w:pPr>
              <w:spacing w:line="320" w:lineRule="exact"/>
              <w:jc w:val="center"/>
              <w:rPr>
                <w:color w:val="auto"/>
                <w:sz w:val="18"/>
                <w:szCs w:val="18"/>
              </w:rPr>
            </w:pPr>
            <w:r>
              <w:rPr>
                <w:rFonts w:hint="eastAsia"/>
                <w:color w:val="auto"/>
                <w:sz w:val="18"/>
                <w:szCs w:val="18"/>
              </w:rPr>
              <w:t>国资处</w:t>
            </w:r>
          </w:p>
        </w:tc>
        <w:tc>
          <w:tcPr>
            <w:tcW w:w="1122" w:type="dxa"/>
            <w:vAlign w:val="center"/>
          </w:tcPr>
          <w:p>
            <w:pPr>
              <w:spacing w:line="320" w:lineRule="exact"/>
              <w:jc w:val="center"/>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5" w:hRule="atLeast"/>
          <w:jc w:val="center"/>
        </w:trPr>
        <w:tc>
          <w:tcPr>
            <w:tcW w:w="1608" w:type="dxa"/>
            <w:vMerge w:val="restart"/>
            <w:vAlign w:val="center"/>
          </w:tcPr>
          <w:p>
            <w:pPr>
              <w:spacing w:line="320" w:lineRule="exact"/>
              <w:jc w:val="left"/>
              <w:rPr>
                <w:rStyle w:val="6"/>
                <w:rFonts w:ascii="楷体_GB2312" w:hAnsi="楷体_GB2312" w:eastAsia="楷体_GB2312" w:cs="楷体_GB2312"/>
                <w:color w:val="auto"/>
                <w:szCs w:val="21"/>
              </w:rPr>
            </w:pPr>
            <w:r>
              <w:rPr>
                <w:rStyle w:val="6"/>
                <w:rFonts w:ascii="楷体_GB2312" w:hAnsi="楷体_GB2312" w:eastAsia="楷体_GB2312" w:cs="楷体_GB2312"/>
                <w:color w:val="auto"/>
                <w:szCs w:val="21"/>
              </w:rPr>
              <w:t>34.</w:t>
            </w:r>
            <w:r>
              <w:rPr>
                <w:rStyle w:val="6"/>
                <w:rFonts w:hint="eastAsia" w:ascii="楷体_GB2312" w:hAnsi="楷体_GB2312" w:eastAsia="楷体_GB2312" w:cs="楷体_GB2312"/>
                <w:color w:val="auto"/>
                <w:szCs w:val="21"/>
              </w:rPr>
              <w:t>推进校园基本建设。</w:t>
            </w:r>
          </w:p>
        </w:tc>
        <w:tc>
          <w:tcPr>
            <w:tcW w:w="4182" w:type="dxa"/>
            <w:vAlign w:val="center"/>
          </w:tcPr>
          <w:p>
            <w:pPr>
              <w:widowControl/>
              <w:spacing w:line="320" w:lineRule="exact"/>
              <w:rPr>
                <w:rFonts w:ascii="楷体_GB2312" w:hAnsi="楷体_GB2312" w:eastAsia="楷体_GB2312" w:cs="楷体_GB2312"/>
                <w:color w:val="auto"/>
                <w:szCs w:val="21"/>
              </w:rPr>
            </w:pPr>
            <w:r>
              <w:rPr>
                <w:rFonts w:hint="eastAsia" w:ascii="楷体_GB2312" w:hAnsi="楷体_GB2312" w:eastAsia="楷体_GB2312" w:cs="楷体_GB2312"/>
                <w:color w:val="auto"/>
                <w:szCs w:val="21"/>
              </w:rPr>
              <w:t>①开工建设第四食堂、新征地雨水、污水排放系统</w:t>
            </w:r>
            <w:r>
              <w:rPr>
                <w:rFonts w:hint="eastAsia" w:ascii="楷体_GB2312" w:hAnsi="楷体_GB2312" w:eastAsia="楷体_GB2312" w:cs="楷体_GB2312"/>
                <w:color w:val="auto"/>
                <w:szCs w:val="21"/>
                <w:lang w:eastAsia="zh-CN"/>
              </w:rPr>
              <w:t>；</w:t>
            </w:r>
          </w:p>
          <w:p>
            <w:pPr>
              <w:widowControl/>
              <w:spacing w:line="320" w:lineRule="exact"/>
              <w:rPr>
                <w:rFonts w:ascii="楷体_GB2312" w:hAnsi="楷体_GB2312" w:eastAsia="楷体_GB2312" w:cs="楷体_GB2312"/>
                <w:color w:val="auto"/>
                <w:szCs w:val="21"/>
              </w:rPr>
            </w:pPr>
            <w:r>
              <w:rPr>
                <w:rFonts w:hint="eastAsia" w:ascii="楷体_GB2312" w:hAnsi="楷体_GB2312" w:eastAsia="楷体_GB2312" w:cs="楷体_GB2312"/>
                <w:color w:val="auto"/>
                <w:szCs w:val="21"/>
              </w:rPr>
              <w:t>②加强体育馆工程监督，确保工程建设有序推进</w:t>
            </w:r>
            <w:r>
              <w:rPr>
                <w:rFonts w:hint="eastAsia" w:ascii="楷体_GB2312" w:hAnsi="楷体_GB2312" w:eastAsia="楷体_GB2312" w:cs="楷体_GB2312"/>
                <w:color w:val="auto"/>
                <w:szCs w:val="21"/>
                <w:lang w:eastAsia="zh-CN"/>
              </w:rPr>
              <w:t>；</w:t>
            </w:r>
          </w:p>
          <w:p>
            <w:pPr>
              <w:widowControl/>
              <w:spacing w:line="320" w:lineRule="exact"/>
              <w:rPr>
                <w:rFonts w:ascii="楷体_GB2312" w:hAnsi="楷体_GB2312" w:eastAsia="楷体_GB2312" w:cs="楷体_GB2312"/>
                <w:color w:val="auto"/>
                <w:szCs w:val="21"/>
              </w:rPr>
            </w:pPr>
            <w:r>
              <w:rPr>
                <w:rFonts w:hint="eastAsia" w:ascii="楷体_GB2312" w:hAnsi="楷体_GB2312" w:eastAsia="楷体_GB2312" w:cs="楷体_GB2312"/>
                <w:color w:val="auto"/>
                <w:szCs w:val="21"/>
              </w:rPr>
              <w:t>③加快土地使用权证的办理；办理新征地划拨供地手续</w:t>
            </w:r>
            <w:r>
              <w:rPr>
                <w:rFonts w:hint="eastAsia" w:ascii="楷体_GB2312" w:hAnsi="楷体_GB2312" w:eastAsia="楷体_GB2312" w:cs="楷体_GB2312"/>
                <w:color w:val="auto"/>
                <w:szCs w:val="21"/>
                <w:lang w:eastAsia="zh-CN"/>
              </w:rPr>
              <w:t>。</w:t>
            </w:r>
          </w:p>
        </w:tc>
        <w:tc>
          <w:tcPr>
            <w:tcW w:w="4708" w:type="dxa"/>
            <w:vMerge w:val="restart"/>
            <w:vAlign w:val="center"/>
          </w:tcPr>
          <w:p>
            <w:pPr>
              <w:widowControl/>
              <w:spacing w:line="320" w:lineRule="exact"/>
              <w:jc w:val="center"/>
              <w:rPr>
                <w:rFonts w:ascii="宋体" w:cs="宋体"/>
                <w:color w:val="auto"/>
                <w:szCs w:val="21"/>
              </w:rPr>
            </w:pPr>
          </w:p>
        </w:tc>
        <w:tc>
          <w:tcPr>
            <w:tcW w:w="1395" w:type="dxa"/>
            <w:vAlign w:val="center"/>
          </w:tcPr>
          <w:p>
            <w:pPr>
              <w:widowControl/>
              <w:spacing w:line="320" w:lineRule="exact"/>
              <w:jc w:val="center"/>
              <w:rPr>
                <w:rFonts w:hint="eastAsia" w:ascii="宋体" w:hAnsi="宋体" w:cs="宋体"/>
                <w:color w:val="auto"/>
                <w:szCs w:val="21"/>
              </w:rPr>
            </w:pPr>
          </w:p>
        </w:tc>
        <w:tc>
          <w:tcPr>
            <w:tcW w:w="1110" w:type="dxa"/>
            <w:vAlign w:val="center"/>
          </w:tcPr>
          <w:p>
            <w:pPr>
              <w:spacing w:line="320" w:lineRule="exact"/>
              <w:jc w:val="center"/>
              <w:rPr>
                <w:color w:val="auto"/>
                <w:sz w:val="18"/>
                <w:szCs w:val="18"/>
              </w:rPr>
            </w:pPr>
            <w:r>
              <w:rPr>
                <w:rFonts w:hint="eastAsia"/>
                <w:color w:val="auto"/>
                <w:sz w:val="18"/>
                <w:szCs w:val="18"/>
              </w:rPr>
              <w:t>基建处</w:t>
            </w:r>
          </w:p>
        </w:tc>
        <w:tc>
          <w:tcPr>
            <w:tcW w:w="1122" w:type="dxa"/>
            <w:vAlign w:val="center"/>
          </w:tcPr>
          <w:p>
            <w:pPr>
              <w:spacing w:line="320" w:lineRule="exact"/>
              <w:jc w:val="center"/>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5" w:hRule="atLeast"/>
          <w:jc w:val="center"/>
        </w:trPr>
        <w:tc>
          <w:tcPr>
            <w:tcW w:w="1608" w:type="dxa"/>
            <w:vMerge w:val="continue"/>
            <w:vAlign w:val="center"/>
          </w:tcPr>
          <w:p>
            <w:pPr>
              <w:spacing w:line="320" w:lineRule="exact"/>
              <w:jc w:val="left"/>
              <w:rPr>
                <w:rStyle w:val="6"/>
                <w:rFonts w:ascii="楷体_GB2312" w:hAnsi="楷体_GB2312" w:eastAsia="楷体_GB2312" w:cs="楷体_GB2312"/>
                <w:color w:val="auto"/>
                <w:szCs w:val="21"/>
              </w:rPr>
            </w:pPr>
          </w:p>
        </w:tc>
        <w:tc>
          <w:tcPr>
            <w:tcW w:w="4182" w:type="dxa"/>
            <w:vAlign w:val="center"/>
          </w:tcPr>
          <w:p>
            <w:pPr>
              <w:widowControl/>
              <w:spacing w:line="320" w:lineRule="exact"/>
              <w:rPr>
                <w:rFonts w:ascii="楷体_GB2312" w:hAnsi="楷体_GB2312" w:eastAsia="楷体_GB2312" w:cs="楷体_GB2312"/>
                <w:color w:val="auto"/>
                <w:szCs w:val="21"/>
              </w:rPr>
            </w:pPr>
            <w:r>
              <w:rPr>
                <w:rFonts w:hint="eastAsia" w:ascii="楷体_GB2312" w:hAnsi="楷体_GB2312" w:eastAsia="楷体_GB2312" w:cs="楷体_GB2312"/>
                <w:color w:val="auto"/>
                <w:szCs w:val="21"/>
              </w:rPr>
              <w:t>③完成校内公共基础设施维修项目、西区道路及下水管网改造、绿化景观能力提升改造、电力线路改造等工程项目，绿化、美化校园环境。</w:t>
            </w:r>
          </w:p>
        </w:tc>
        <w:tc>
          <w:tcPr>
            <w:tcW w:w="4708" w:type="dxa"/>
            <w:vMerge w:val="continue"/>
            <w:vAlign w:val="center"/>
          </w:tcPr>
          <w:p>
            <w:pPr>
              <w:widowControl/>
              <w:spacing w:line="320" w:lineRule="exact"/>
              <w:jc w:val="center"/>
              <w:rPr>
                <w:rFonts w:ascii="宋体" w:cs="宋体"/>
                <w:color w:val="auto"/>
                <w:szCs w:val="21"/>
              </w:rPr>
            </w:pPr>
          </w:p>
        </w:tc>
        <w:tc>
          <w:tcPr>
            <w:tcW w:w="1395" w:type="dxa"/>
            <w:vAlign w:val="center"/>
          </w:tcPr>
          <w:p>
            <w:pPr>
              <w:widowControl/>
              <w:spacing w:line="320" w:lineRule="exact"/>
              <w:jc w:val="center"/>
              <w:rPr>
                <w:rFonts w:ascii="宋体" w:cs="宋体"/>
                <w:color w:val="auto"/>
                <w:szCs w:val="21"/>
              </w:rPr>
            </w:pPr>
          </w:p>
        </w:tc>
        <w:tc>
          <w:tcPr>
            <w:tcW w:w="1110" w:type="dxa"/>
            <w:vAlign w:val="center"/>
          </w:tcPr>
          <w:p>
            <w:pPr>
              <w:spacing w:line="320" w:lineRule="exact"/>
              <w:jc w:val="center"/>
              <w:rPr>
                <w:rFonts w:hint="eastAsia"/>
                <w:color w:val="auto"/>
                <w:sz w:val="18"/>
                <w:szCs w:val="18"/>
                <w:u w:val="none"/>
              </w:rPr>
            </w:pPr>
            <w:r>
              <w:rPr>
                <w:rFonts w:hint="eastAsia"/>
                <w:color w:val="auto"/>
                <w:sz w:val="18"/>
                <w:szCs w:val="18"/>
                <w:u w:val="none"/>
              </w:rPr>
              <w:t>基建处</w:t>
            </w:r>
          </w:p>
          <w:p>
            <w:pPr>
              <w:spacing w:line="320" w:lineRule="exact"/>
              <w:jc w:val="center"/>
              <w:rPr>
                <w:color w:val="auto"/>
                <w:sz w:val="18"/>
                <w:szCs w:val="18"/>
              </w:rPr>
            </w:pPr>
            <w:r>
              <w:rPr>
                <w:rFonts w:hint="eastAsia"/>
                <w:color w:val="auto"/>
                <w:sz w:val="18"/>
                <w:szCs w:val="18"/>
                <w:u w:val="none"/>
              </w:rPr>
              <w:t>后勤管理处</w:t>
            </w:r>
          </w:p>
        </w:tc>
        <w:tc>
          <w:tcPr>
            <w:tcW w:w="1122" w:type="dxa"/>
            <w:vAlign w:val="center"/>
          </w:tcPr>
          <w:p>
            <w:pPr>
              <w:spacing w:line="320" w:lineRule="exact"/>
              <w:jc w:val="center"/>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55" w:hRule="atLeast"/>
          <w:jc w:val="center"/>
        </w:trPr>
        <w:tc>
          <w:tcPr>
            <w:tcW w:w="1608" w:type="dxa"/>
            <w:vAlign w:val="center"/>
          </w:tcPr>
          <w:p>
            <w:pPr>
              <w:spacing w:line="320" w:lineRule="exact"/>
              <w:jc w:val="left"/>
              <w:rPr>
                <w:rStyle w:val="6"/>
                <w:rFonts w:ascii="楷体_GB2312" w:hAnsi="楷体_GB2312" w:eastAsia="楷体_GB2312" w:cs="楷体_GB2312"/>
                <w:color w:val="auto"/>
                <w:szCs w:val="21"/>
              </w:rPr>
            </w:pPr>
            <w:r>
              <w:rPr>
                <w:rStyle w:val="6"/>
                <w:rFonts w:ascii="楷体_GB2312" w:hAnsi="楷体_GB2312" w:eastAsia="楷体_GB2312" w:cs="楷体_GB2312"/>
                <w:color w:val="auto"/>
                <w:szCs w:val="21"/>
              </w:rPr>
              <w:t>35.</w:t>
            </w:r>
            <w:r>
              <w:rPr>
                <w:rStyle w:val="6"/>
                <w:rFonts w:hint="eastAsia" w:ascii="楷体_GB2312" w:hAnsi="楷体_GB2312" w:eastAsia="楷体_GB2312" w:cs="楷体_GB2312"/>
                <w:color w:val="auto"/>
                <w:szCs w:val="21"/>
              </w:rPr>
              <w:t>加快信息化建设。</w:t>
            </w:r>
          </w:p>
        </w:tc>
        <w:tc>
          <w:tcPr>
            <w:tcW w:w="4182" w:type="dxa"/>
            <w:vAlign w:val="center"/>
          </w:tcPr>
          <w:p>
            <w:pPr>
              <w:spacing w:line="320" w:lineRule="exact"/>
              <w:rPr>
                <w:rFonts w:ascii="楷体_GB2312" w:hAnsi="楷体_GB2312" w:eastAsia="楷体_GB2312" w:cs="楷体_GB2312"/>
                <w:color w:val="auto"/>
                <w:szCs w:val="21"/>
              </w:rPr>
            </w:pPr>
            <w:r>
              <w:rPr>
                <w:rFonts w:hint="eastAsia" w:ascii="楷体_GB2312" w:hAnsi="楷体_GB2312" w:eastAsia="楷体_GB2312" w:cs="楷体_GB2312"/>
                <w:color w:val="auto"/>
                <w:szCs w:val="21"/>
                <w:lang w:val="zh-CN"/>
              </w:rPr>
              <w:t>推进智慧校园工程，</w:t>
            </w:r>
            <w:r>
              <w:rPr>
                <w:rFonts w:hint="eastAsia" w:ascii="楷体_GB2312" w:hAnsi="楷体_GB2312" w:eastAsia="楷体_GB2312" w:cs="楷体_GB2312"/>
                <w:color w:val="auto"/>
                <w:szCs w:val="21"/>
              </w:rPr>
              <w:t>改造升级校园网络，实现无线网全覆盖。</w:t>
            </w:r>
          </w:p>
        </w:tc>
        <w:tc>
          <w:tcPr>
            <w:tcW w:w="4708" w:type="dxa"/>
            <w:vAlign w:val="center"/>
          </w:tcPr>
          <w:p>
            <w:pPr>
              <w:spacing w:line="320" w:lineRule="exact"/>
              <w:jc w:val="center"/>
              <w:rPr>
                <w:rFonts w:ascii="宋体" w:cs="宋体"/>
                <w:color w:val="auto"/>
                <w:szCs w:val="21"/>
                <w:lang w:val="zh-CN"/>
              </w:rPr>
            </w:pPr>
          </w:p>
        </w:tc>
        <w:tc>
          <w:tcPr>
            <w:tcW w:w="1395" w:type="dxa"/>
            <w:vAlign w:val="center"/>
          </w:tcPr>
          <w:p>
            <w:pPr>
              <w:spacing w:line="320" w:lineRule="exact"/>
              <w:jc w:val="center"/>
              <w:rPr>
                <w:rFonts w:hint="eastAsia" w:ascii="宋体" w:hAnsi="宋体" w:cs="宋体"/>
                <w:color w:val="auto"/>
                <w:szCs w:val="21"/>
                <w:lang w:val="zh-CN"/>
              </w:rPr>
            </w:pPr>
          </w:p>
        </w:tc>
        <w:tc>
          <w:tcPr>
            <w:tcW w:w="1110" w:type="dxa"/>
            <w:vAlign w:val="center"/>
          </w:tcPr>
          <w:p>
            <w:pPr>
              <w:spacing w:line="320" w:lineRule="exact"/>
              <w:jc w:val="center"/>
              <w:rPr>
                <w:color w:val="auto"/>
                <w:sz w:val="18"/>
                <w:szCs w:val="18"/>
              </w:rPr>
            </w:pPr>
            <w:r>
              <w:rPr>
                <w:rFonts w:hint="eastAsia"/>
                <w:color w:val="auto"/>
                <w:sz w:val="18"/>
                <w:szCs w:val="18"/>
              </w:rPr>
              <w:t>办公室（网络中心）</w:t>
            </w:r>
          </w:p>
        </w:tc>
        <w:tc>
          <w:tcPr>
            <w:tcW w:w="1122" w:type="dxa"/>
            <w:vAlign w:val="center"/>
          </w:tcPr>
          <w:p>
            <w:pPr>
              <w:spacing w:line="320" w:lineRule="exact"/>
              <w:jc w:val="center"/>
              <w:rPr>
                <w:color w:val="auto"/>
                <w:sz w:val="18"/>
                <w:szCs w:val="18"/>
              </w:rPr>
            </w:pPr>
            <w:r>
              <w:rPr>
                <w:rFonts w:hint="eastAsia"/>
                <w:color w:val="auto"/>
                <w:sz w:val="18"/>
                <w:szCs w:val="18"/>
              </w:rPr>
              <w:t>各相关单位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1608" w:type="dxa"/>
            <w:vAlign w:val="center"/>
          </w:tcPr>
          <w:p>
            <w:pPr>
              <w:spacing w:line="320" w:lineRule="exact"/>
              <w:jc w:val="left"/>
              <w:rPr>
                <w:rStyle w:val="6"/>
                <w:rFonts w:ascii="楷体_GB2312" w:hAnsi="楷体_GB2312" w:eastAsia="楷体_GB2312" w:cs="楷体_GB2312"/>
                <w:color w:val="auto"/>
                <w:szCs w:val="21"/>
              </w:rPr>
            </w:pPr>
            <w:r>
              <w:rPr>
                <w:rStyle w:val="6"/>
                <w:rFonts w:ascii="楷体_GB2312" w:hAnsi="楷体_GB2312" w:eastAsia="楷体_GB2312" w:cs="楷体_GB2312"/>
                <w:color w:val="auto"/>
                <w:szCs w:val="21"/>
              </w:rPr>
              <w:t>36.</w:t>
            </w:r>
            <w:r>
              <w:rPr>
                <w:rStyle w:val="6"/>
                <w:rFonts w:hint="eastAsia" w:ascii="楷体_GB2312" w:hAnsi="楷体_GB2312" w:eastAsia="楷体_GB2312" w:cs="楷体_GB2312"/>
                <w:color w:val="auto"/>
                <w:szCs w:val="21"/>
              </w:rPr>
              <w:t>加快图书文献资源建设。</w:t>
            </w:r>
          </w:p>
        </w:tc>
        <w:tc>
          <w:tcPr>
            <w:tcW w:w="4182" w:type="dxa"/>
            <w:vAlign w:val="center"/>
          </w:tcPr>
          <w:p>
            <w:pPr>
              <w:spacing w:line="320" w:lineRule="exact"/>
              <w:rPr>
                <w:rFonts w:ascii="楷体_GB2312" w:hAnsi="楷体_GB2312" w:eastAsia="楷体_GB2312" w:cs="楷体_GB2312"/>
                <w:color w:val="auto"/>
                <w:szCs w:val="21"/>
              </w:rPr>
            </w:pPr>
            <w:r>
              <w:rPr>
                <w:rFonts w:hint="eastAsia" w:ascii="楷体_GB2312" w:hAnsi="楷体_GB2312" w:eastAsia="楷体_GB2312" w:cs="楷体_GB2312"/>
                <w:color w:val="auto"/>
                <w:szCs w:val="21"/>
              </w:rPr>
              <w:t>加强图书和文献资源建设，建设宿州地方特色数字资源库，优化文献资源结构。</w:t>
            </w:r>
          </w:p>
        </w:tc>
        <w:tc>
          <w:tcPr>
            <w:tcW w:w="4708" w:type="dxa"/>
            <w:vAlign w:val="center"/>
          </w:tcPr>
          <w:p>
            <w:pPr>
              <w:spacing w:line="320" w:lineRule="exact"/>
              <w:jc w:val="center"/>
              <w:rPr>
                <w:rFonts w:ascii="宋体" w:cs="宋体"/>
                <w:color w:val="auto"/>
                <w:szCs w:val="21"/>
              </w:rPr>
            </w:pPr>
          </w:p>
        </w:tc>
        <w:tc>
          <w:tcPr>
            <w:tcW w:w="1395" w:type="dxa"/>
            <w:vAlign w:val="center"/>
          </w:tcPr>
          <w:p>
            <w:pPr>
              <w:spacing w:line="320" w:lineRule="exact"/>
              <w:jc w:val="center"/>
              <w:rPr>
                <w:rFonts w:hint="eastAsia" w:ascii="宋体" w:hAnsi="宋体" w:cs="宋体"/>
                <w:color w:val="auto"/>
                <w:szCs w:val="21"/>
              </w:rPr>
            </w:pPr>
          </w:p>
        </w:tc>
        <w:tc>
          <w:tcPr>
            <w:tcW w:w="1110" w:type="dxa"/>
            <w:vAlign w:val="center"/>
          </w:tcPr>
          <w:p>
            <w:pPr>
              <w:spacing w:line="320" w:lineRule="exact"/>
              <w:jc w:val="center"/>
              <w:rPr>
                <w:color w:val="auto"/>
                <w:sz w:val="18"/>
                <w:szCs w:val="18"/>
              </w:rPr>
            </w:pPr>
            <w:r>
              <w:rPr>
                <w:rFonts w:hint="eastAsia"/>
                <w:color w:val="auto"/>
                <w:sz w:val="18"/>
                <w:szCs w:val="18"/>
              </w:rPr>
              <w:t>图书馆</w:t>
            </w:r>
          </w:p>
        </w:tc>
        <w:tc>
          <w:tcPr>
            <w:tcW w:w="1122" w:type="dxa"/>
            <w:vAlign w:val="center"/>
          </w:tcPr>
          <w:p>
            <w:pPr>
              <w:spacing w:line="320" w:lineRule="exact"/>
              <w:jc w:val="center"/>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5" w:hRule="atLeast"/>
          <w:jc w:val="center"/>
        </w:trPr>
        <w:tc>
          <w:tcPr>
            <w:tcW w:w="1608" w:type="dxa"/>
            <w:vAlign w:val="center"/>
          </w:tcPr>
          <w:p>
            <w:pPr>
              <w:spacing w:line="320" w:lineRule="exact"/>
              <w:jc w:val="left"/>
              <w:rPr>
                <w:rStyle w:val="6"/>
                <w:rFonts w:ascii="楷体_GB2312" w:hAnsi="楷体_GB2312" w:eastAsia="楷体_GB2312" w:cs="楷体_GB2312"/>
                <w:color w:val="auto"/>
                <w:szCs w:val="21"/>
              </w:rPr>
            </w:pPr>
            <w:r>
              <w:rPr>
                <w:rStyle w:val="6"/>
                <w:rFonts w:ascii="楷体_GB2312" w:hAnsi="楷体_GB2312" w:eastAsia="楷体_GB2312" w:cs="楷体_GB2312"/>
                <w:color w:val="auto"/>
                <w:szCs w:val="21"/>
              </w:rPr>
              <w:t>37.</w:t>
            </w:r>
            <w:r>
              <w:rPr>
                <w:rStyle w:val="6"/>
                <w:rFonts w:hint="eastAsia" w:ascii="楷体_GB2312" w:hAnsi="楷体_GB2312" w:eastAsia="楷体_GB2312" w:cs="楷体_GB2312"/>
                <w:color w:val="auto"/>
                <w:szCs w:val="21"/>
              </w:rPr>
              <w:t>加强节约型校园建设。</w:t>
            </w:r>
          </w:p>
        </w:tc>
        <w:tc>
          <w:tcPr>
            <w:tcW w:w="4182" w:type="dxa"/>
            <w:vAlign w:val="center"/>
          </w:tcPr>
          <w:p>
            <w:pPr>
              <w:spacing w:line="320" w:lineRule="exact"/>
              <w:rPr>
                <w:rFonts w:ascii="楷体_GB2312" w:hAnsi="楷体_GB2312" w:eastAsia="楷体_GB2312" w:cs="楷体_GB2312"/>
                <w:color w:val="auto"/>
                <w:szCs w:val="21"/>
              </w:rPr>
            </w:pPr>
            <w:r>
              <w:rPr>
                <w:rFonts w:hint="eastAsia" w:ascii="楷体_GB2312" w:hAnsi="楷体_GB2312" w:eastAsia="楷体_GB2312" w:cs="楷体_GB2312"/>
                <w:color w:val="auto"/>
                <w:szCs w:val="21"/>
              </w:rPr>
              <w:t>完善能耗监管平台建设，创建节约型校园，力争获批省级节能示范单位、通过国家级节能示范单位验收。</w:t>
            </w:r>
          </w:p>
        </w:tc>
        <w:tc>
          <w:tcPr>
            <w:tcW w:w="4708" w:type="dxa"/>
            <w:vMerge w:val="restart"/>
            <w:vAlign w:val="center"/>
          </w:tcPr>
          <w:p>
            <w:pPr>
              <w:spacing w:line="320" w:lineRule="exact"/>
              <w:jc w:val="center"/>
              <w:rPr>
                <w:rFonts w:ascii="宋体" w:cs="宋体"/>
                <w:color w:val="auto"/>
                <w:szCs w:val="21"/>
              </w:rPr>
            </w:pPr>
          </w:p>
        </w:tc>
        <w:tc>
          <w:tcPr>
            <w:tcW w:w="1395" w:type="dxa"/>
            <w:vAlign w:val="center"/>
          </w:tcPr>
          <w:p>
            <w:pPr>
              <w:spacing w:line="320" w:lineRule="exact"/>
              <w:jc w:val="center"/>
              <w:rPr>
                <w:rFonts w:hint="eastAsia" w:ascii="宋体" w:hAnsi="宋体" w:cs="宋体"/>
                <w:color w:val="auto"/>
                <w:szCs w:val="21"/>
              </w:rPr>
            </w:pPr>
          </w:p>
        </w:tc>
        <w:tc>
          <w:tcPr>
            <w:tcW w:w="1110" w:type="dxa"/>
            <w:vAlign w:val="center"/>
          </w:tcPr>
          <w:p>
            <w:pPr>
              <w:spacing w:line="320" w:lineRule="exact"/>
              <w:jc w:val="center"/>
              <w:rPr>
                <w:color w:val="auto"/>
                <w:sz w:val="18"/>
                <w:szCs w:val="18"/>
              </w:rPr>
            </w:pPr>
            <w:r>
              <w:rPr>
                <w:rFonts w:hint="eastAsia"/>
                <w:color w:val="auto"/>
                <w:sz w:val="18"/>
                <w:szCs w:val="18"/>
              </w:rPr>
              <w:t>后勤管理处</w:t>
            </w:r>
          </w:p>
        </w:tc>
        <w:tc>
          <w:tcPr>
            <w:tcW w:w="1122" w:type="dxa"/>
            <w:vAlign w:val="center"/>
          </w:tcPr>
          <w:p>
            <w:pPr>
              <w:spacing w:line="320" w:lineRule="exact"/>
              <w:jc w:val="center"/>
              <w:rPr>
                <w:color w:val="auto"/>
                <w:sz w:val="18"/>
                <w:szCs w:val="18"/>
              </w:rPr>
            </w:pPr>
            <w:r>
              <w:rPr>
                <w:rFonts w:hint="eastAsia"/>
                <w:color w:val="auto"/>
                <w:sz w:val="18"/>
                <w:szCs w:val="18"/>
              </w:rPr>
              <w:t>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5" w:hRule="atLeast"/>
          <w:jc w:val="center"/>
        </w:trPr>
        <w:tc>
          <w:tcPr>
            <w:tcW w:w="1608" w:type="dxa"/>
            <w:vAlign w:val="center"/>
          </w:tcPr>
          <w:p>
            <w:pPr>
              <w:spacing w:line="320" w:lineRule="exact"/>
              <w:jc w:val="left"/>
              <w:rPr>
                <w:rStyle w:val="6"/>
                <w:rFonts w:ascii="楷体_GB2312" w:hAnsi="楷体_GB2312" w:eastAsia="楷体_GB2312" w:cs="楷体_GB2312"/>
                <w:color w:val="auto"/>
                <w:szCs w:val="21"/>
              </w:rPr>
            </w:pPr>
            <w:r>
              <w:rPr>
                <w:rStyle w:val="6"/>
                <w:rFonts w:ascii="楷体_GB2312" w:hAnsi="楷体_GB2312" w:eastAsia="楷体_GB2312" w:cs="楷体_GB2312"/>
                <w:color w:val="auto"/>
                <w:szCs w:val="21"/>
              </w:rPr>
              <w:t>38.</w:t>
            </w:r>
            <w:r>
              <w:rPr>
                <w:rStyle w:val="6"/>
                <w:rFonts w:hint="eastAsia" w:ascii="楷体_GB2312" w:hAnsi="楷体_GB2312" w:eastAsia="楷体_GB2312" w:cs="楷体_GB2312"/>
                <w:color w:val="auto"/>
                <w:szCs w:val="21"/>
              </w:rPr>
              <w:t>加强后勤精细化管理。</w:t>
            </w:r>
          </w:p>
        </w:tc>
        <w:tc>
          <w:tcPr>
            <w:tcW w:w="4182" w:type="dxa"/>
            <w:vAlign w:val="center"/>
          </w:tcPr>
          <w:p>
            <w:pPr>
              <w:spacing w:line="320" w:lineRule="exact"/>
              <w:rPr>
                <w:rFonts w:ascii="楷体_GB2312" w:hAnsi="楷体_GB2312" w:eastAsia="楷体_GB2312" w:cs="楷体_GB2312"/>
                <w:color w:val="auto"/>
                <w:szCs w:val="21"/>
              </w:rPr>
            </w:pPr>
            <w:r>
              <w:rPr>
                <w:rFonts w:hint="eastAsia" w:ascii="楷体_GB2312" w:hAnsi="楷体_GB2312" w:eastAsia="楷体_GB2312" w:cs="楷体_GB2312"/>
                <w:color w:val="auto"/>
                <w:szCs w:val="21"/>
              </w:rPr>
              <w:t>出台相关监管文件，继续加强对购买服务企业和项目的监管、服务和指导；加快后勤信息化项目建设，实施智慧教室等服务外包项目，提升服务质量和水平。</w:t>
            </w:r>
          </w:p>
        </w:tc>
        <w:tc>
          <w:tcPr>
            <w:tcW w:w="4708" w:type="dxa"/>
            <w:vMerge w:val="continue"/>
            <w:vAlign w:val="center"/>
          </w:tcPr>
          <w:p>
            <w:pPr>
              <w:spacing w:line="320" w:lineRule="exact"/>
              <w:rPr>
                <w:rFonts w:ascii="楷体_GB2312" w:hAnsi="楷体_GB2312" w:eastAsia="楷体_GB2312" w:cs="楷体_GB2312"/>
                <w:color w:val="auto"/>
                <w:szCs w:val="21"/>
              </w:rPr>
            </w:pPr>
          </w:p>
        </w:tc>
        <w:tc>
          <w:tcPr>
            <w:tcW w:w="1395" w:type="dxa"/>
            <w:vAlign w:val="center"/>
          </w:tcPr>
          <w:p>
            <w:pPr>
              <w:spacing w:line="320" w:lineRule="exact"/>
              <w:rPr>
                <w:rFonts w:ascii="楷体_GB2312" w:hAnsi="楷体_GB2312" w:eastAsia="楷体_GB2312" w:cs="楷体_GB2312"/>
                <w:color w:val="auto"/>
                <w:szCs w:val="21"/>
              </w:rPr>
            </w:pPr>
          </w:p>
        </w:tc>
        <w:tc>
          <w:tcPr>
            <w:tcW w:w="1110" w:type="dxa"/>
            <w:vAlign w:val="center"/>
          </w:tcPr>
          <w:p>
            <w:pPr>
              <w:spacing w:line="320" w:lineRule="exact"/>
              <w:jc w:val="center"/>
              <w:rPr>
                <w:color w:val="auto"/>
                <w:sz w:val="18"/>
                <w:szCs w:val="18"/>
              </w:rPr>
            </w:pPr>
            <w:r>
              <w:rPr>
                <w:rFonts w:hint="eastAsia"/>
                <w:color w:val="auto"/>
                <w:sz w:val="18"/>
                <w:szCs w:val="18"/>
              </w:rPr>
              <w:t>后勤管理处</w:t>
            </w:r>
          </w:p>
        </w:tc>
        <w:tc>
          <w:tcPr>
            <w:tcW w:w="1122" w:type="dxa"/>
            <w:vAlign w:val="center"/>
          </w:tcPr>
          <w:p>
            <w:pPr>
              <w:spacing w:line="320" w:lineRule="exact"/>
              <w:jc w:val="center"/>
              <w:rPr>
                <w:color w:val="auto"/>
                <w:sz w:val="18"/>
                <w:szCs w:val="18"/>
              </w:rPr>
            </w:pPr>
          </w:p>
        </w:tc>
      </w:tr>
    </w:tbl>
    <w:p>
      <w:pPr>
        <w:spacing w:line="480" w:lineRule="exact"/>
        <w:rPr>
          <w:rFonts w:ascii="仿宋_GB2312" w:hAnsi="宋体" w:eastAsia="仿宋_GB2312" w:cs="宋体"/>
          <w:kern w:val="0"/>
          <w:sz w:val="30"/>
          <w:szCs w:val="30"/>
        </w:rPr>
      </w:pPr>
    </w:p>
    <w:sectPr>
      <w:footerReference r:id="rId3" w:type="default"/>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pict>
        <v:shape id="_x0000_s4097" o:spid="_x0000_s4097"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3"/>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16 -</w:t>
                </w:r>
                <w:r>
                  <w:rPr>
                    <w:sz w:val="28"/>
                    <w:szCs w:val="28"/>
                  </w:rPr>
                  <w:fldChar w:fldCharType="end"/>
                </w:r>
              </w:p>
              <w:p/>
            </w:txbxContent>
          </v:textbox>
        </v:shape>
      </w:pic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6BD8"/>
    <w:rsid w:val="00000A3A"/>
    <w:rsid w:val="00012FF8"/>
    <w:rsid w:val="000130C0"/>
    <w:rsid w:val="00013315"/>
    <w:rsid w:val="00017CBC"/>
    <w:rsid w:val="00026C8B"/>
    <w:rsid w:val="0003459F"/>
    <w:rsid w:val="000923B6"/>
    <w:rsid w:val="000A3900"/>
    <w:rsid w:val="000C6C38"/>
    <w:rsid w:val="000D6BD8"/>
    <w:rsid w:val="000F6506"/>
    <w:rsid w:val="00102CB9"/>
    <w:rsid w:val="00103273"/>
    <w:rsid w:val="001115A7"/>
    <w:rsid w:val="0011246F"/>
    <w:rsid w:val="00122476"/>
    <w:rsid w:val="00134D4B"/>
    <w:rsid w:val="0014610D"/>
    <w:rsid w:val="001A6457"/>
    <w:rsid w:val="001C10BB"/>
    <w:rsid w:val="001E618A"/>
    <w:rsid w:val="001F7820"/>
    <w:rsid w:val="00202E8E"/>
    <w:rsid w:val="00206321"/>
    <w:rsid w:val="0020691D"/>
    <w:rsid w:val="00245EC8"/>
    <w:rsid w:val="00251EEB"/>
    <w:rsid w:val="0027491C"/>
    <w:rsid w:val="002912D1"/>
    <w:rsid w:val="00293185"/>
    <w:rsid w:val="002A0B6C"/>
    <w:rsid w:val="002D277A"/>
    <w:rsid w:val="002F38E6"/>
    <w:rsid w:val="00330F07"/>
    <w:rsid w:val="003348A6"/>
    <w:rsid w:val="003718C7"/>
    <w:rsid w:val="00372C11"/>
    <w:rsid w:val="0037430E"/>
    <w:rsid w:val="0039382A"/>
    <w:rsid w:val="003C0790"/>
    <w:rsid w:val="003C2635"/>
    <w:rsid w:val="003C4A4C"/>
    <w:rsid w:val="003F5807"/>
    <w:rsid w:val="00406E7E"/>
    <w:rsid w:val="00407028"/>
    <w:rsid w:val="00462B3F"/>
    <w:rsid w:val="004817DE"/>
    <w:rsid w:val="00497BD0"/>
    <w:rsid w:val="004B0CB2"/>
    <w:rsid w:val="004B1BA7"/>
    <w:rsid w:val="00507AF8"/>
    <w:rsid w:val="00516B27"/>
    <w:rsid w:val="0051720A"/>
    <w:rsid w:val="00547046"/>
    <w:rsid w:val="00563930"/>
    <w:rsid w:val="00590FEE"/>
    <w:rsid w:val="00591C65"/>
    <w:rsid w:val="00597DDA"/>
    <w:rsid w:val="005A3992"/>
    <w:rsid w:val="005A6ACC"/>
    <w:rsid w:val="005D21BB"/>
    <w:rsid w:val="005F155E"/>
    <w:rsid w:val="005F6203"/>
    <w:rsid w:val="006007DA"/>
    <w:rsid w:val="006118AA"/>
    <w:rsid w:val="00650221"/>
    <w:rsid w:val="006627E9"/>
    <w:rsid w:val="006773C6"/>
    <w:rsid w:val="00692007"/>
    <w:rsid w:val="006E0615"/>
    <w:rsid w:val="007079F6"/>
    <w:rsid w:val="007117DB"/>
    <w:rsid w:val="007242E2"/>
    <w:rsid w:val="0072642E"/>
    <w:rsid w:val="0075169E"/>
    <w:rsid w:val="007548CB"/>
    <w:rsid w:val="00773B05"/>
    <w:rsid w:val="007804D7"/>
    <w:rsid w:val="00784A6F"/>
    <w:rsid w:val="007928BD"/>
    <w:rsid w:val="007C329F"/>
    <w:rsid w:val="007F5E11"/>
    <w:rsid w:val="008034DE"/>
    <w:rsid w:val="00821AA7"/>
    <w:rsid w:val="008245F7"/>
    <w:rsid w:val="00860FF0"/>
    <w:rsid w:val="0087263A"/>
    <w:rsid w:val="00877573"/>
    <w:rsid w:val="00890163"/>
    <w:rsid w:val="008C0900"/>
    <w:rsid w:val="008E7174"/>
    <w:rsid w:val="008F290C"/>
    <w:rsid w:val="00902007"/>
    <w:rsid w:val="009124DA"/>
    <w:rsid w:val="009369CD"/>
    <w:rsid w:val="00944445"/>
    <w:rsid w:val="00952BBA"/>
    <w:rsid w:val="00955CF6"/>
    <w:rsid w:val="009579C6"/>
    <w:rsid w:val="00971749"/>
    <w:rsid w:val="009770CF"/>
    <w:rsid w:val="00977A59"/>
    <w:rsid w:val="009C1478"/>
    <w:rsid w:val="009D56DB"/>
    <w:rsid w:val="009E7643"/>
    <w:rsid w:val="009F4BC9"/>
    <w:rsid w:val="009F781C"/>
    <w:rsid w:val="00A077A7"/>
    <w:rsid w:val="00A079AC"/>
    <w:rsid w:val="00A158C0"/>
    <w:rsid w:val="00A30585"/>
    <w:rsid w:val="00A37544"/>
    <w:rsid w:val="00A556E5"/>
    <w:rsid w:val="00A62491"/>
    <w:rsid w:val="00A63181"/>
    <w:rsid w:val="00A74A5C"/>
    <w:rsid w:val="00A94580"/>
    <w:rsid w:val="00AA03B6"/>
    <w:rsid w:val="00AB2664"/>
    <w:rsid w:val="00AB56DD"/>
    <w:rsid w:val="00AB5754"/>
    <w:rsid w:val="00AB7013"/>
    <w:rsid w:val="00AC53D2"/>
    <w:rsid w:val="00AC54A3"/>
    <w:rsid w:val="00AD7164"/>
    <w:rsid w:val="00AE5B1B"/>
    <w:rsid w:val="00AF2C66"/>
    <w:rsid w:val="00B013F1"/>
    <w:rsid w:val="00B133EC"/>
    <w:rsid w:val="00B22AB6"/>
    <w:rsid w:val="00B26169"/>
    <w:rsid w:val="00B308FC"/>
    <w:rsid w:val="00B42A9E"/>
    <w:rsid w:val="00B459C8"/>
    <w:rsid w:val="00B55BEF"/>
    <w:rsid w:val="00B82446"/>
    <w:rsid w:val="00B87190"/>
    <w:rsid w:val="00BA00E2"/>
    <w:rsid w:val="00BB2660"/>
    <w:rsid w:val="00BC117F"/>
    <w:rsid w:val="00BC62FF"/>
    <w:rsid w:val="00BC6F17"/>
    <w:rsid w:val="00BD78E0"/>
    <w:rsid w:val="00BE08FE"/>
    <w:rsid w:val="00BE7099"/>
    <w:rsid w:val="00C041A5"/>
    <w:rsid w:val="00C25E9F"/>
    <w:rsid w:val="00C66631"/>
    <w:rsid w:val="00C71AFE"/>
    <w:rsid w:val="00CD011C"/>
    <w:rsid w:val="00D02C3B"/>
    <w:rsid w:val="00D308EF"/>
    <w:rsid w:val="00D62A88"/>
    <w:rsid w:val="00D62C59"/>
    <w:rsid w:val="00D72606"/>
    <w:rsid w:val="00D747DE"/>
    <w:rsid w:val="00D807B4"/>
    <w:rsid w:val="00D8773E"/>
    <w:rsid w:val="00DA4D93"/>
    <w:rsid w:val="00DC065C"/>
    <w:rsid w:val="00DE53F0"/>
    <w:rsid w:val="00DF4589"/>
    <w:rsid w:val="00E109D6"/>
    <w:rsid w:val="00E20C47"/>
    <w:rsid w:val="00E52420"/>
    <w:rsid w:val="00E55922"/>
    <w:rsid w:val="00E75784"/>
    <w:rsid w:val="00E75B82"/>
    <w:rsid w:val="00E75CD4"/>
    <w:rsid w:val="00E76D0B"/>
    <w:rsid w:val="00E8256A"/>
    <w:rsid w:val="00E863FE"/>
    <w:rsid w:val="00E95F89"/>
    <w:rsid w:val="00E9672C"/>
    <w:rsid w:val="00EA02EF"/>
    <w:rsid w:val="00EB17A3"/>
    <w:rsid w:val="00EB2D11"/>
    <w:rsid w:val="00EF197E"/>
    <w:rsid w:val="00F07124"/>
    <w:rsid w:val="00F0718E"/>
    <w:rsid w:val="00F11485"/>
    <w:rsid w:val="00F11AFF"/>
    <w:rsid w:val="00F372F6"/>
    <w:rsid w:val="00F84767"/>
    <w:rsid w:val="00F974FA"/>
    <w:rsid w:val="00FB6293"/>
    <w:rsid w:val="00FC417C"/>
    <w:rsid w:val="00FC4DE8"/>
    <w:rsid w:val="00FC6A14"/>
    <w:rsid w:val="0954497B"/>
    <w:rsid w:val="09D809CC"/>
    <w:rsid w:val="0A3B4E2F"/>
    <w:rsid w:val="0BAF5573"/>
    <w:rsid w:val="105467A0"/>
    <w:rsid w:val="10FF32F3"/>
    <w:rsid w:val="11F62C6D"/>
    <w:rsid w:val="12F8395B"/>
    <w:rsid w:val="145C7334"/>
    <w:rsid w:val="147D757C"/>
    <w:rsid w:val="196F46E4"/>
    <w:rsid w:val="19774EE8"/>
    <w:rsid w:val="1B253073"/>
    <w:rsid w:val="1EC33D42"/>
    <w:rsid w:val="21DE395E"/>
    <w:rsid w:val="238A385F"/>
    <w:rsid w:val="23984AC9"/>
    <w:rsid w:val="262620DC"/>
    <w:rsid w:val="27182A5F"/>
    <w:rsid w:val="272E5884"/>
    <w:rsid w:val="2A1606E2"/>
    <w:rsid w:val="2C1C72AC"/>
    <w:rsid w:val="2CF33672"/>
    <w:rsid w:val="30916815"/>
    <w:rsid w:val="356D72F8"/>
    <w:rsid w:val="392C37A5"/>
    <w:rsid w:val="393E01DB"/>
    <w:rsid w:val="3DB44206"/>
    <w:rsid w:val="3F1D641D"/>
    <w:rsid w:val="42BA4AAE"/>
    <w:rsid w:val="42EB0D25"/>
    <w:rsid w:val="466558ED"/>
    <w:rsid w:val="49111C9F"/>
    <w:rsid w:val="518843F5"/>
    <w:rsid w:val="51F7086A"/>
    <w:rsid w:val="57101450"/>
    <w:rsid w:val="5846665D"/>
    <w:rsid w:val="596E3ED4"/>
    <w:rsid w:val="5AF00C96"/>
    <w:rsid w:val="640B4AE9"/>
    <w:rsid w:val="65030178"/>
    <w:rsid w:val="651D5C07"/>
    <w:rsid w:val="685F6916"/>
    <w:rsid w:val="689124A2"/>
    <w:rsid w:val="68A65C60"/>
    <w:rsid w:val="69E07BD3"/>
    <w:rsid w:val="6B5332F0"/>
    <w:rsid w:val="6F983CA1"/>
    <w:rsid w:val="70333A03"/>
    <w:rsid w:val="70E50A8E"/>
    <w:rsid w:val="72453A4B"/>
    <w:rsid w:val="763F2730"/>
    <w:rsid w:val="7B043931"/>
    <w:rsid w:val="7E4474A9"/>
    <w:rsid w:val="7EFA63CD"/>
    <w:rsid w:val="7F5A3A0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uiPriority w:val="99"/>
    <w:rPr>
      <w:sz w:val="18"/>
      <w:szCs w:val="18"/>
    </w:r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99"/>
    <w:rPr>
      <w:rFonts w:cs="Times New Roman"/>
      <w:b/>
      <w:bCs/>
    </w:rPr>
  </w:style>
  <w:style w:type="character" w:styleId="7">
    <w:name w:val="FollowedHyperlink"/>
    <w:basedOn w:val="5"/>
    <w:qFormat/>
    <w:uiPriority w:val="99"/>
    <w:rPr>
      <w:rFonts w:ascii="微软雅黑" w:hAnsi="微软雅黑" w:eastAsia="微软雅黑" w:cs="微软雅黑"/>
      <w:color w:val="000000"/>
      <w:sz w:val="21"/>
      <w:szCs w:val="21"/>
      <w:u w:val="none"/>
    </w:rPr>
  </w:style>
  <w:style w:type="character" w:styleId="8">
    <w:name w:val="Emphasis"/>
    <w:basedOn w:val="5"/>
    <w:qFormat/>
    <w:uiPriority w:val="99"/>
    <w:rPr>
      <w:rFonts w:cs="Times New Roman"/>
      <w:i/>
      <w:iCs/>
    </w:rPr>
  </w:style>
  <w:style w:type="character" w:styleId="9">
    <w:name w:val="Hyperlink"/>
    <w:basedOn w:val="5"/>
    <w:qFormat/>
    <w:uiPriority w:val="99"/>
    <w:rPr>
      <w:rFonts w:ascii="微软雅黑" w:hAnsi="微软雅黑" w:eastAsia="微软雅黑" w:cs="微软雅黑"/>
      <w:color w:val="000000"/>
      <w:sz w:val="21"/>
      <w:szCs w:val="21"/>
      <w:u w:val="none"/>
    </w:rPr>
  </w:style>
  <w:style w:type="character" w:customStyle="1" w:styleId="11">
    <w:name w:val="批注框文本 Char"/>
    <w:basedOn w:val="5"/>
    <w:link w:val="2"/>
    <w:semiHidden/>
    <w:qFormat/>
    <w:locked/>
    <w:uiPriority w:val="99"/>
    <w:rPr>
      <w:rFonts w:cs="Times New Roman"/>
      <w:kern w:val="2"/>
      <w:sz w:val="18"/>
      <w:szCs w:val="18"/>
    </w:rPr>
  </w:style>
  <w:style w:type="character" w:customStyle="1" w:styleId="12">
    <w:name w:val="页脚 Char"/>
    <w:basedOn w:val="5"/>
    <w:link w:val="3"/>
    <w:qFormat/>
    <w:locked/>
    <w:uiPriority w:val="99"/>
    <w:rPr>
      <w:rFonts w:cs="Times New Roman"/>
      <w:sz w:val="18"/>
      <w:szCs w:val="18"/>
    </w:rPr>
  </w:style>
  <w:style w:type="character" w:customStyle="1" w:styleId="13">
    <w:name w:val="页眉 Char"/>
    <w:basedOn w:val="5"/>
    <w:link w:val="4"/>
    <w:semiHidden/>
    <w:qFormat/>
    <w:locked/>
    <w:uiPriority w:val="99"/>
    <w:rPr>
      <w:rFonts w:cs="Times New Roman"/>
      <w:sz w:val="18"/>
      <w:szCs w:val="18"/>
    </w:rPr>
  </w:style>
  <w:style w:type="paragraph" w:styleId="14">
    <w:name w:val="List Paragraph"/>
    <w:basedOn w:val="1"/>
    <w:qFormat/>
    <w:uiPriority w:val="99"/>
    <w:pPr>
      <w:ind w:firstLine="420" w:firstLineChars="200"/>
    </w:pPr>
  </w:style>
  <w:style w:type="character" w:customStyle="1" w:styleId="15">
    <w:name w:val="pubdate-day"/>
    <w:basedOn w:val="5"/>
    <w:qFormat/>
    <w:uiPriority w:val="99"/>
    <w:rPr>
      <w:rFonts w:cs="Times New Roman"/>
      <w:shd w:val="clear" w:color="auto" w:fill="F2F2F2"/>
    </w:rPr>
  </w:style>
  <w:style w:type="character" w:customStyle="1" w:styleId="16">
    <w:name w:val="pubdate-month"/>
    <w:basedOn w:val="5"/>
    <w:qFormat/>
    <w:uiPriority w:val="99"/>
    <w:rPr>
      <w:rFonts w:cs="Times New Roman"/>
      <w:color w:val="FFFFFF"/>
      <w:sz w:val="24"/>
      <w:szCs w:val="24"/>
      <w:shd w:val="clear" w:color="auto" w:fill="CC000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1603</Words>
  <Characters>9138</Characters>
  <Lines>76</Lines>
  <Paragraphs>21</Paragraphs>
  <TotalTime>30</TotalTime>
  <ScaleCrop>false</ScaleCrop>
  <LinksUpToDate>false</LinksUpToDate>
  <CharactersWithSpaces>10720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2018-02-08T15:13:00Z</dcterms:created>
  <dc:creator>NTKO</dc:creator>
  <cp:lastModifiedBy>Administrator</cp:lastModifiedBy>
  <cp:lastPrinted>2018-12-03T08:14:00Z</cp:lastPrinted>
  <dcterms:modified xsi:type="dcterms:W3CDTF">2018-12-03T08:49:49Z</dcterms:modified>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