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54EC" w:rsidRPr="00083E47" w:rsidRDefault="00F654EC" w:rsidP="00083E47">
      <w:pPr>
        <w:spacing w:line="664" w:lineRule="atLeast"/>
        <w:ind w:firstLine="720"/>
        <w:jc w:val="center"/>
        <w:rPr>
          <w:rFonts w:ascii="方正小标宋简体" w:eastAsia="方正小标宋简体" w:hAnsi="方正小标宋简体"/>
          <w:sz w:val="36"/>
          <w:szCs w:val="36"/>
        </w:rPr>
      </w:pPr>
      <w:r w:rsidRPr="00083E47">
        <w:rPr>
          <w:rFonts w:ascii="方正小标宋简体" w:eastAsia="方正小标宋简体" w:hAnsi="方正小标宋简体" w:hint="eastAsia"/>
          <w:sz w:val="36"/>
          <w:szCs w:val="36"/>
        </w:rPr>
        <w:t>宿州市</w:t>
      </w:r>
      <w:r w:rsidRPr="00083E47">
        <w:rPr>
          <w:rFonts w:ascii="方正小标宋简体" w:eastAsia="方正小标宋简体" w:hAnsi="方正小标宋简体"/>
          <w:sz w:val="36"/>
          <w:szCs w:val="36"/>
        </w:rPr>
        <w:t>2018</w:t>
      </w:r>
      <w:r w:rsidRPr="00083E47">
        <w:rPr>
          <w:rFonts w:ascii="方正小标宋简体" w:eastAsia="方正小标宋简体" w:hAnsi="方正小标宋简体" w:hint="eastAsia"/>
          <w:sz w:val="36"/>
          <w:szCs w:val="36"/>
        </w:rPr>
        <w:t>年度城镇居民基本医疗保险实施办法</w:t>
      </w:r>
    </w:p>
    <w:p w:rsidR="00F654EC" w:rsidRDefault="00F654EC" w:rsidP="00C52B2A">
      <w:pPr>
        <w:spacing w:line="664" w:lineRule="atLeast"/>
        <w:ind w:firstLine="880"/>
        <w:jc w:val="center"/>
        <w:rPr>
          <w:rFonts w:ascii="方正小标宋简体" w:eastAsia="方正小标宋简体" w:hAnsi="方正小标宋简体"/>
          <w:sz w:val="44"/>
        </w:rPr>
      </w:pPr>
    </w:p>
    <w:p w:rsidR="00F654EC" w:rsidRDefault="00F654EC" w:rsidP="00C52B2A">
      <w:pPr>
        <w:spacing w:line="539" w:lineRule="atLeast"/>
        <w:ind w:firstLine="640"/>
        <w:rPr>
          <w:rFonts w:eastAsia="仿宋_GB2312"/>
          <w:sz w:val="32"/>
        </w:rPr>
      </w:pPr>
      <w:r>
        <w:rPr>
          <w:rFonts w:eastAsia="仿宋_GB2312" w:hint="eastAsia"/>
          <w:sz w:val="32"/>
        </w:rPr>
        <w:t>根据省政府《关于</w:t>
      </w:r>
      <w:r>
        <w:rPr>
          <w:rFonts w:eastAsia="仿宋_GB2312"/>
          <w:sz w:val="32"/>
        </w:rPr>
        <w:t>2018</w:t>
      </w:r>
      <w:r>
        <w:rPr>
          <w:rFonts w:eastAsia="仿宋_GB2312" w:hint="eastAsia"/>
          <w:sz w:val="32"/>
        </w:rPr>
        <w:t>年实施</w:t>
      </w:r>
      <w:r>
        <w:rPr>
          <w:rFonts w:eastAsia="仿宋_GB2312"/>
          <w:sz w:val="32"/>
        </w:rPr>
        <w:t>33</w:t>
      </w:r>
      <w:r>
        <w:rPr>
          <w:rFonts w:eastAsia="仿宋_GB2312" w:hint="eastAsia"/>
          <w:sz w:val="32"/>
        </w:rPr>
        <w:t>项民生工程的通知》（皖政〔</w:t>
      </w:r>
      <w:r>
        <w:rPr>
          <w:rFonts w:eastAsia="仿宋_GB2312"/>
          <w:sz w:val="32"/>
        </w:rPr>
        <w:t>2018</w:t>
      </w:r>
      <w:r>
        <w:rPr>
          <w:rFonts w:eastAsia="仿宋_GB2312" w:hint="eastAsia"/>
          <w:sz w:val="32"/>
        </w:rPr>
        <w:t>〕</w:t>
      </w:r>
      <w:r>
        <w:rPr>
          <w:rFonts w:eastAsia="仿宋_GB2312"/>
          <w:sz w:val="32"/>
        </w:rPr>
        <w:t>26</w:t>
      </w:r>
      <w:r>
        <w:rPr>
          <w:rFonts w:eastAsia="仿宋_GB2312" w:hint="eastAsia"/>
          <w:sz w:val="32"/>
        </w:rPr>
        <w:t>号）要求，结合我市城镇居民基本医疗保险民生工程工作实际，制定本实施办法。</w:t>
      </w:r>
    </w:p>
    <w:p w:rsidR="00F654EC" w:rsidRDefault="00F654EC" w:rsidP="00C52B2A">
      <w:pPr>
        <w:spacing w:line="539" w:lineRule="atLeast"/>
        <w:ind w:firstLine="640"/>
        <w:rPr>
          <w:rFonts w:ascii="黑体" w:eastAsia="黑体" w:hAnsi="黑体"/>
          <w:sz w:val="32"/>
        </w:rPr>
      </w:pPr>
      <w:r>
        <w:rPr>
          <w:rFonts w:ascii="黑体" w:eastAsia="黑体" w:hAnsi="黑体" w:hint="eastAsia"/>
          <w:sz w:val="32"/>
        </w:rPr>
        <w:t>一、目标任务和基本原则</w:t>
      </w:r>
    </w:p>
    <w:p w:rsidR="00F654EC" w:rsidRDefault="00F654EC" w:rsidP="00C52B2A">
      <w:pPr>
        <w:spacing w:line="539" w:lineRule="atLeast"/>
        <w:ind w:firstLine="640"/>
        <w:rPr>
          <w:rFonts w:ascii="????_GBK" w:hAnsi="????_GBK"/>
          <w:sz w:val="32"/>
        </w:rPr>
      </w:pPr>
      <w:r>
        <w:rPr>
          <w:rFonts w:ascii="宋体" w:hAnsi="宋体" w:cs="宋体" w:hint="eastAsia"/>
          <w:sz w:val="32"/>
        </w:rPr>
        <w:t>（一）目标任务</w:t>
      </w:r>
    </w:p>
    <w:p w:rsidR="00F654EC" w:rsidRDefault="00F654EC" w:rsidP="00C52B2A">
      <w:pPr>
        <w:spacing w:line="539" w:lineRule="atLeast"/>
        <w:ind w:firstLine="640"/>
        <w:rPr>
          <w:rFonts w:eastAsia="仿宋_GB2312"/>
          <w:sz w:val="32"/>
        </w:rPr>
      </w:pPr>
      <w:r>
        <w:rPr>
          <w:rFonts w:eastAsia="仿宋_GB2312" w:hint="eastAsia"/>
          <w:sz w:val="32"/>
        </w:rPr>
        <w:t>对我市未纳入城镇职工基本医疗保险制度覆盖范围的非从业城镇居民的基本医疗保险进行制度安排，城镇居民基本医疗保险（以下简称居民医保）参保人数达到</w:t>
      </w:r>
      <w:r>
        <w:rPr>
          <w:rFonts w:eastAsia="仿宋_GB2312"/>
          <w:sz w:val="32"/>
        </w:rPr>
        <w:t>45</w:t>
      </w:r>
      <w:r>
        <w:rPr>
          <w:rFonts w:eastAsia="仿宋_GB2312" w:hint="eastAsia"/>
          <w:sz w:val="32"/>
        </w:rPr>
        <w:t>万人；参保个人缴费标准达到国家标准；政策范围内住院费用基金支付比例稳定在</w:t>
      </w:r>
      <w:r>
        <w:rPr>
          <w:rFonts w:eastAsia="仿宋_GB2312"/>
          <w:sz w:val="32"/>
        </w:rPr>
        <w:t>75%</w:t>
      </w:r>
      <w:r>
        <w:rPr>
          <w:rFonts w:eastAsia="仿宋_GB2312" w:hint="eastAsia"/>
          <w:sz w:val="32"/>
        </w:rPr>
        <w:t>左右。</w:t>
      </w:r>
    </w:p>
    <w:p w:rsidR="00F654EC" w:rsidRDefault="00F654EC" w:rsidP="00C52B2A">
      <w:pPr>
        <w:spacing w:line="539" w:lineRule="atLeast"/>
        <w:ind w:firstLine="640"/>
        <w:rPr>
          <w:rFonts w:ascii="????_GBK" w:hAnsi="????_GBK"/>
          <w:sz w:val="32"/>
        </w:rPr>
      </w:pPr>
      <w:r>
        <w:rPr>
          <w:rFonts w:ascii="宋体" w:hAnsi="宋体" w:cs="宋体" w:hint="eastAsia"/>
          <w:sz w:val="32"/>
        </w:rPr>
        <w:t>（二）基本原则</w:t>
      </w:r>
    </w:p>
    <w:p w:rsidR="00F654EC" w:rsidRDefault="00F654EC" w:rsidP="00C52B2A">
      <w:pPr>
        <w:spacing w:line="539" w:lineRule="atLeast"/>
        <w:ind w:firstLine="640"/>
        <w:rPr>
          <w:rFonts w:eastAsia="仿宋_GB2312"/>
          <w:sz w:val="32"/>
        </w:rPr>
      </w:pPr>
      <w:r>
        <w:rPr>
          <w:rFonts w:eastAsia="仿宋_GB2312"/>
          <w:sz w:val="32"/>
        </w:rPr>
        <w:t>1.</w:t>
      </w:r>
      <w:r>
        <w:rPr>
          <w:rFonts w:eastAsia="仿宋_GB2312" w:hint="eastAsia"/>
          <w:sz w:val="32"/>
        </w:rPr>
        <w:t>医保基金坚持以收定支、收支平衡、略有节余原则。</w:t>
      </w:r>
    </w:p>
    <w:p w:rsidR="00F654EC" w:rsidRDefault="00F654EC" w:rsidP="00C52B2A">
      <w:pPr>
        <w:spacing w:line="539" w:lineRule="atLeast"/>
        <w:ind w:firstLine="640"/>
        <w:rPr>
          <w:rFonts w:eastAsia="仿宋_GB2312"/>
          <w:sz w:val="32"/>
        </w:rPr>
      </w:pPr>
      <w:r>
        <w:rPr>
          <w:rFonts w:eastAsia="仿宋_GB2312"/>
          <w:sz w:val="32"/>
        </w:rPr>
        <w:t>2.</w:t>
      </w:r>
      <w:r>
        <w:rPr>
          <w:rFonts w:eastAsia="仿宋_GB2312" w:hint="eastAsia"/>
          <w:sz w:val="32"/>
        </w:rPr>
        <w:t>属地管理原则。筹资、保障水平要与当地经济发展水平和各方面承受能力相适应。</w:t>
      </w:r>
    </w:p>
    <w:p w:rsidR="00F654EC" w:rsidRDefault="00F654EC" w:rsidP="00C52B2A">
      <w:pPr>
        <w:spacing w:line="539" w:lineRule="atLeast"/>
        <w:ind w:firstLine="640"/>
        <w:rPr>
          <w:rFonts w:eastAsia="仿宋_GB2312"/>
          <w:sz w:val="32"/>
        </w:rPr>
      </w:pPr>
      <w:r>
        <w:rPr>
          <w:rFonts w:eastAsia="仿宋_GB2312"/>
          <w:sz w:val="32"/>
        </w:rPr>
        <w:t>3.</w:t>
      </w:r>
      <w:r>
        <w:rPr>
          <w:rFonts w:eastAsia="仿宋_GB2312" w:hint="eastAsia"/>
          <w:sz w:val="32"/>
        </w:rPr>
        <w:t>住院和门诊统筹相结合的原则。以住院费用统筹为主</w:t>
      </w:r>
      <w:r>
        <w:rPr>
          <w:rFonts w:eastAsia="仿宋_GB2312"/>
          <w:sz w:val="32"/>
        </w:rPr>
        <w:t>,</w:t>
      </w:r>
      <w:r>
        <w:rPr>
          <w:rFonts w:eastAsia="仿宋_GB2312" w:hint="eastAsia"/>
          <w:sz w:val="32"/>
        </w:rPr>
        <w:t>兼顾门诊慢性病、普通门诊费用。</w:t>
      </w:r>
    </w:p>
    <w:p w:rsidR="00F654EC" w:rsidRDefault="00F654EC" w:rsidP="00C52B2A">
      <w:pPr>
        <w:spacing w:line="539" w:lineRule="atLeast"/>
        <w:ind w:firstLine="640"/>
        <w:rPr>
          <w:rFonts w:eastAsia="仿宋_GB2312"/>
          <w:sz w:val="32"/>
        </w:rPr>
      </w:pPr>
      <w:r>
        <w:rPr>
          <w:rFonts w:eastAsia="仿宋_GB2312"/>
          <w:sz w:val="32"/>
        </w:rPr>
        <w:t>4.</w:t>
      </w:r>
      <w:r>
        <w:rPr>
          <w:rFonts w:eastAsia="仿宋_GB2312" w:hint="eastAsia"/>
          <w:sz w:val="32"/>
        </w:rPr>
        <w:t>权利与义务相对应的原则。资金主要来源于各级财政补助和个人缴费，实行费用分担机制。</w:t>
      </w:r>
    </w:p>
    <w:p w:rsidR="00F654EC" w:rsidRDefault="00F654EC" w:rsidP="00C52B2A">
      <w:pPr>
        <w:spacing w:line="539" w:lineRule="atLeast"/>
        <w:ind w:firstLine="640"/>
        <w:rPr>
          <w:rFonts w:eastAsia="仿宋_GB2312"/>
          <w:sz w:val="32"/>
        </w:rPr>
      </w:pPr>
      <w:r>
        <w:rPr>
          <w:rFonts w:eastAsia="仿宋_GB2312"/>
          <w:sz w:val="32"/>
        </w:rPr>
        <w:t>5.</w:t>
      </w:r>
      <w:r>
        <w:rPr>
          <w:rFonts w:eastAsia="仿宋_GB2312" w:hint="eastAsia"/>
          <w:sz w:val="32"/>
        </w:rPr>
        <w:t>统筹安排的原则。做好城镇居民基本医疗保险与大病保险、城乡各类医疗保障制度的衔接。</w:t>
      </w:r>
    </w:p>
    <w:p w:rsidR="00F654EC" w:rsidRDefault="00F654EC" w:rsidP="00C52B2A">
      <w:pPr>
        <w:spacing w:line="539" w:lineRule="atLeast"/>
        <w:ind w:firstLine="640"/>
        <w:rPr>
          <w:rFonts w:ascii="黑体" w:eastAsia="黑体" w:hAnsi="黑体"/>
          <w:sz w:val="32"/>
        </w:rPr>
      </w:pPr>
      <w:r>
        <w:rPr>
          <w:rFonts w:ascii="黑体" w:eastAsia="黑体" w:hAnsi="黑体" w:hint="eastAsia"/>
          <w:sz w:val="32"/>
        </w:rPr>
        <w:t>二、覆盖范围、筹资标准和保障水平</w:t>
      </w:r>
    </w:p>
    <w:p w:rsidR="00F654EC" w:rsidRDefault="00F654EC" w:rsidP="00C52B2A">
      <w:pPr>
        <w:spacing w:line="539" w:lineRule="atLeast"/>
        <w:ind w:firstLine="640"/>
        <w:rPr>
          <w:rFonts w:ascii="????_GBK" w:hAnsi="????_GBK"/>
          <w:sz w:val="32"/>
        </w:rPr>
      </w:pPr>
      <w:r>
        <w:rPr>
          <w:rFonts w:ascii="宋体" w:hAnsi="宋体" w:cs="宋体" w:hint="eastAsia"/>
          <w:sz w:val="32"/>
        </w:rPr>
        <w:t>（一）覆盖范围</w:t>
      </w:r>
    </w:p>
    <w:p w:rsidR="00F654EC" w:rsidRDefault="00F654EC" w:rsidP="00C52B2A">
      <w:pPr>
        <w:spacing w:line="539" w:lineRule="atLeast"/>
        <w:ind w:firstLine="640"/>
        <w:rPr>
          <w:rFonts w:eastAsia="仿宋_GB2312"/>
          <w:sz w:val="32"/>
        </w:rPr>
      </w:pPr>
      <w:r>
        <w:rPr>
          <w:rFonts w:eastAsia="仿宋_GB2312" w:hint="eastAsia"/>
          <w:sz w:val="32"/>
        </w:rPr>
        <w:t>除应参加职工基本医疗保险人员以外的其他所有城镇居民（包括驻宿在校大学生），都可参加城镇居民基本医疗保险。进城务工人员、城镇灵活就业人员在城镇无稳定劳动关系参加城镇职工医保确有困难的，可按照规定参加城镇居民医疗保险。</w:t>
      </w:r>
    </w:p>
    <w:p w:rsidR="00F654EC" w:rsidRDefault="00F654EC" w:rsidP="00C52B2A">
      <w:pPr>
        <w:spacing w:line="539" w:lineRule="atLeast"/>
        <w:ind w:firstLine="640"/>
        <w:rPr>
          <w:rFonts w:eastAsia="仿宋_GB2312"/>
          <w:sz w:val="32"/>
        </w:rPr>
      </w:pPr>
      <w:r>
        <w:rPr>
          <w:rFonts w:eastAsia="仿宋_GB2312" w:hint="eastAsia"/>
          <w:sz w:val="32"/>
        </w:rPr>
        <w:t>各县区经办机构要结合全民参保登记行动完善参保方式，掌握参保资源，做好城镇居民参保登记工作，加强与卫生计生部门联系，争取做到城镇居民参保信息系统与新农合信息系统对接，实现参保数据信息比对，努力做到应保尽保，避免重复参保。</w:t>
      </w:r>
    </w:p>
    <w:p w:rsidR="00F654EC" w:rsidRDefault="00F654EC" w:rsidP="00C52B2A">
      <w:pPr>
        <w:spacing w:line="539" w:lineRule="atLeast"/>
        <w:ind w:firstLine="640"/>
        <w:rPr>
          <w:rFonts w:ascii="????_GBK" w:hAnsi="????_GBK"/>
          <w:sz w:val="32"/>
        </w:rPr>
      </w:pPr>
      <w:r>
        <w:rPr>
          <w:rFonts w:ascii="宋体" w:hAnsi="宋体" w:cs="宋体" w:hint="eastAsia"/>
          <w:sz w:val="32"/>
        </w:rPr>
        <w:t>（二）统筹层次</w:t>
      </w:r>
    </w:p>
    <w:p w:rsidR="00F654EC" w:rsidRDefault="00F654EC" w:rsidP="00C52B2A">
      <w:pPr>
        <w:spacing w:line="539" w:lineRule="atLeast"/>
        <w:ind w:firstLine="640"/>
        <w:rPr>
          <w:rFonts w:eastAsia="仿宋_GB2312"/>
          <w:sz w:val="32"/>
        </w:rPr>
      </w:pPr>
      <w:r>
        <w:rPr>
          <w:rFonts w:eastAsia="仿宋_GB2312" w:hint="eastAsia"/>
          <w:sz w:val="32"/>
        </w:rPr>
        <w:t>城镇居民基本医疗保险实行市级统筹，在全市范围统一参保时间和范围，统一筹资标准，统一待遇水平，统一基金征收管理与使用，统一经办服务流程和统一医保信息网络。</w:t>
      </w:r>
    </w:p>
    <w:p w:rsidR="00F654EC" w:rsidRDefault="00F654EC" w:rsidP="00C52B2A">
      <w:pPr>
        <w:spacing w:line="539" w:lineRule="atLeast"/>
        <w:ind w:firstLine="640"/>
        <w:rPr>
          <w:rFonts w:ascii="????_GBK" w:hAnsi="????_GBK"/>
          <w:sz w:val="32"/>
        </w:rPr>
      </w:pPr>
      <w:r>
        <w:rPr>
          <w:rFonts w:ascii="宋体" w:hAnsi="宋体" w:cs="宋体" w:hint="eastAsia"/>
          <w:sz w:val="32"/>
        </w:rPr>
        <w:t>（三）资金筹集</w:t>
      </w:r>
    </w:p>
    <w:p w:rsidR="00F654EC" w:rsidRDefault="00F654EC" w:rsidP="00C52B2A">
      <w:pPr>
        <w:spacing w:line="539" w:lineRule="atLeast"/>
        <w:ind w:firstLine="640"/>
        <w:rPr>
          <w:rFonts w:eastAsia="仿宋_GB2312"/>
          <w:sz w:val="32"/>
        </w:rPr>
      </w:pPr>
      <w:r>
        <w:rPr>
          <w:rFonts w:eastAsia="仿宋_GB2312"/>
          <w:sz w:val="32"/>
        </w:rPr>
        <w:t>1.</w:t>
      </w:r>
      <w:r>
        <w:rPr>
          <w:rFonts w:eastAsia="仿宋_GB2312" w:hint="eastAsia"/>
          <w:sz w:val="32"/>
        </w:rPr>
        <w:t>个人缴费。居民医保实行按年缴费制度。</w:t>
      </w:r>
      <w:r>
        <w:rPr>
          <w:rFonts w:eastAsia="仿宋_GB2312"/>
          <w:sz w:val="32"/>
        </w:rPr>
        <w:t>2018</w:t>
      </w:r>
      <w:r>
        <w:rPr>
          <w:rFonts w:eastAsia="仿宋_GB2312" w:hint="eastAsia"/>
          <w:sz w:val="32"/>
        </w:rPr>
        <w:t>年，各县区要严格国家规定的个人缴费标准，确保基金应收尽收。有条件的用人单位可对职工供养的直系亲属参加城镇居民医保给予缴费补助。</w:t>
      </w:r>
    </w:p>
    <w:p w:rsidR="00F654EC" w:rsidRDefault="00F654EC" w:rsidP="00C52B2A">
      <w:pPr>
        <w:spacing w:line="539" w:lineRule="atLeast"/>
        <w:ind w:firstLine="640"/>
        <w:rPr>
          <w:rFonts w:eastAsia="仿宋_GB2312"/>
          <w:sz w:val="32"/>
        </w:rPr>
      </w:pPr>
      <w:r>
        <w:rPr>
          <w:rFonts w:eastAsia="仿宋_GB2312"/>
          <w:sz w:val="32"/>
        </w:rPr>
        <w:t>2.</w:t>
      </w:r>
      <w:r>
        <w:rPr>
          <w:rFonts w:eastAsia="仿宋_GB2312" w:hint="eastAsia"/>
          <w:sz w:val="32"/>
        </w:rPr>
        <w:t>财政补助。</w:t>
      </w:r>
      <w:r>
        <w:rPr>
          <w:rFonts w:eastAsia="仿宋_GB2312"/>
          <w:sz w:val="32"/>
        </w:rPr>
        <w:t>2018</w:t>
      </w:r>
      <w:r>
        <w:rPr>
          <w:rFonts w:eastAsia="仿宋_GB2312" w:hint="eastAsia"/>
          <w:sz w:val="32"/>
        </w:rPr>
        <w:t>年，城镇居民基本医疗保险各级财政补助标准提高到每人每年</w:t>
      </w:r>
      <w:r>
        <w:rPr>
          <w:rFonts w:eastAsia="仿宋_GB2312"/>
          <w:sz w:val="32"/>
        </w:rPr>
        <w:t>490</w:t>
      </w:r>
      <w:r>
        <w:rPr>
          <w:rFonts w:eastAsia="仿宋_GB2312" w:hint="eastAsia"/>
          <w:sz w:val="32"/>
        </w:rPr>
        <w:t>元（如果国家政策另有调整，从其规定）。其中砀山县、萧县、灵璧县、泗县比照西部开发政策，中央财政承担</w:t>
      </w:r>
      <w:r>
        <w:rPr>
          <w:rFonts w:eastAsia="仿宋_GB2312"/>
          <w:sz w:val="32"/>
        </w:rPr>
        <w:t>356</w:t>
      </w:r>
      <w:r>
        <w:rPr>
          <w:rFonts w:eastAsia="仿宋_GB2312" w:hint="eastAsia"/>
          <w:sz w:val="32"/>
        </w:rPr>
        <w:t>元，省财政承担</w:t>
      </w:r>
      <w:r>
        <w:rPr>
          <w:rFonts w:eastAsia="仿宋_GB2312"/>
          <w:sz w:val="32"/>
        </w:rPr>
        <w:t>119</w:t>
      </w:r>
      <w:r>
        <w:rPr>
          <w:rFonts w:eastAsia="仿宋_GB2312" w:hint="eastAsia"/>
          <w:sz w:val="32"/>
        </w:rPr>
        <w:t>元，县财政配套不低于</w:t>
      </w:r>
      <w:r>
        <w:rPr>
          <w:rFonts w:eastAsia="仿宋_GB2312"/>
          <w:sz w:val="32"/>
        </w:rPr>
        <w:t>15</w:t>
      </w:r>
      <w:r>
        <w:rPr>
          <w:rFonts w:eastAsia="仿宋_GB2312" w:hint="eastAsia"/>
          <w:sz w:val="32"/>
        </w:rPr>
        <w:t>元；埇桥区中央财政承担</w:t>
      </w:r>
      <w:r>
        <w:rPr>
          <w:rFonts w:eastAsia="仿宋_GB2312"/>
          <w:sz w:val="32"/>
        </w:rPr>
        <w:t>282</w:t>
      </w:r>
      <w:r>
        <w:rPr>
          <w:rFonts w:eastAsia="仿宋_GB2312" w:hint="eastAsia"/>
          <w:sz w:val="32"/>
        </w:rPr>
        <w:t>元，省财政承担</w:t>
      </w:r>
      <w:r>
        <w:rPr>
          <w:rFonts w:eastAsia="仿宋_GB2312"/>
          <w:sz w:val="32"/>
        </w:rPr>
        <w:t>156</w:t>
      </w:r>
      <w:r>
        <w:rPr>
          <w:rFonts w:eastAsia="仿宋_GB2312" w:hint="eastAsia"/>
          <w:sz w:val="32"/>
        </w:rPr>
        <w:t>元、市财政承担</w:t>
      </w:r>
      <w:r>
        <w:rPr>
          <w:rFonts w:eastAsia="仿宋_GB2312"/>
          <w:sz w:val="32"/>
        </w:rPr>
        <w:t>15</w:t>
      </w:r>
      <w:r>
        <w:rPr>
          <w:rFonts w:eastAsia="仿宋_GB2312" w:hint="eastAsia"/>
          <w:sz w:val="32"/>
        </w:rPr>
        <w:t>元，埇桥区财政配套不低于</w:t>
      </w:r>
      <w:r>
        <w:rPr>
          <w:rFonts w:eastAsia="仿宋_GB2312"/>
          <w:sz w:val="32"/>
        </w:rPr>
        <w:t>37</w:t>
      </w:r>
      <w:r>
        <w:rPr>
          <w:rFonts w:eastAsia="仿宋_GB2312" w:hint="eastAsia"/>
          <w:sz w:val="32"/>
        </w:rPr>
        <w:t>元。</w:t>
      </w:r>
    </w:p>
    <w:p w:rsidR="00F654EC" w:rsidRDefault="00F654EC" w:rsidP="00C52B2A">
      <w:pPr>
        <w:spacing w:line="539" w:lineRule="atLeast"/>
        <w:ind w:firstLine="640"/>
        <w:rPr>
          <w:rFonts w:eastAsia="仿宋_GB2312"/>
          <w:sz w:val="32"/>
        </w:rPr>
      </w:pPr>
      <w:r>
        <w:rPr>
          <w:rFonts w:eastAsia="仿宋_GB2312" w:hint="eastAsia"/>
          <w:sz w:val="32"/>
        </w:rPr>
        <w:t>大学生基本医疗保险财政补助标准每人每年</w:t>
      </w:r>
      <w:r>
        <w:rPr>
          <w:rFonts w:eastAsia="仿宋_GB2312"/>
          <w:sz w:val="32"/>
        </w:rPr>
        <w:t>490</w:t>
      </w:r>
      <w:r>
        <w:rPr>
          <w:rFonts w:eastAsia="仿宋_GB2312" w:hint="eastAsia"/>
          <w:sz w:val="32"/>
        </w:rPr>
        <w:t>元。其中：省属高校补助资金，中央财政承担</w:t>
      </w:r>
      <w:r>
        <w:rPr>
          <w:rFonts w:eastAsia="仿宋_GB2312"/>
          <w:sz w:val="32"/>
        </w:rPr>
        <w:t>282</w:t>
      </w:r>
      <w:r>
        <w:rPr>
          <w:rFonts w:eastAsia="仿宋_GB2312" w:hint="eastAsia"/>
          <w:sz w:val="32"/>
        </w:rPr>
        <w:t>元，省财政承担</w:t>
      </w:r>
      <w:r>
        <w:rPr>
          <w:rFonts w:eastAsia="仿宋_GB2312"/>
          <w:sz w:val="32"/>
        </w:rPr>
        <w:t>208</w:t>
      </w:r>
      <w:r>
        <w:rPr>
          <w:rFonts w:eastAsia="仿宋_GB2312" w:hint="eastAsia"/>
          <w:sz w:val="32"/>
        </w:rPr>
        <w:t>元；市属高校补助资金，中央财政承担</w:t>
      </w:r>
      <w:r>
        <w:rPr>
          <w:rFonts w:eastAsia="仿宋_GB2312"/>
          <w:sz w:val="32"/>
        </w:rPr>
        <w:t>282</w:t>
      </w:r>
      <w:r>
        <w:rPr>
          <w:rFonts w:eastAsia="仿宋_GB2312" w:hint="eastAsia"/>
          <w:sz w:val="32"/>
        </w:rPr>
        <w:t>元，省、市财政各承担</w:t>
      </w:r>
      <w:r>
        <w:rPr>
          <w:rFonts w:eastAsia="仿宋_GB2312"/>
          <w:sz w:val="32"/>
        </w:rPr>
        <w:t>104</w:t>
      </w:r>
      <w:r>
        <w:rPr>
          <w:rFonts w:eastAsia="仿宋_GB2312" w:hint="eastAsia"/>
          <w:sz w:val="32"/>
        </w:rPr>
        <w:t>元。</w:t>
      </w:r>
    </w:p>
    <w:p w:rsidR="00F654EC" w:rsidRDefault="00F654EC" w:rsidP="00C52B2A">
      <w:pPr>
        <w:spacing w:line="539" w:lineRule="atLeast"/>
        <w:ind w:firstLine="640"/>
        <w:rPr>
          <w:rFonts w:eastAsia="仿宋_GB2312"/>
          <w:sz w:val="32"/>
        </w:rPr>
      </w:pPr>
      <w:r>
        <w:rPr>
          <w:rFonts w:eastAsia="仿宋_GB2312"/>
          <w:sz w:val="32"/>
        </w:rPr>
        <w:t>3.</w:t>
      </w:r>
      <w:r>
        <w:rPr>
          <w:rFonts w:eastAsia="仿宋_GB2312" w:hint="eastAsia"/>
          <w:sz w:val="32"/>
        </w:rPr>
        <w:t>特殊群体补助。根据《关于贯彻落实社会保险扶贫工作的实施意见》（皖人社发〔</w:t>
      </w:r>
      <w:r>
        <w:rPr>
          <w:rFonts w:eastAsia="仿宋_GB2312"/>
          <w:sz w:val="32"/>
        </w:rPr>
        <w:t>2017</w:t>
      </w:r>
      <w:r>
        <w:rPr>
          <w:rFonts w:eastAsia="仿宋_GB2312" w:hint="eastAsia"/>
          <w:sz w:val="32"/>
        </w:rPr>
        <w:t>〕</w:t>
      </w:r>
      <w:r>
        <w:rPr>
          <w:rFonts w:eastAsia="仿宋_GB2312"/>
          <w:sz w:val="32"/>
        </w:rPr>
        <w:t>65</w:t>
      </w:r>
      <w:r>
        <w:rPr>
          <w:rFonts w:eastAsia="仿宋_GB2312" w:hint="eastAsia"/>
          <w:sz w:val="32"/>
        </w:rPr>
        <w:t>号）、《关于做好计划生育特殊困难家庭医疗扶助工作的通知》（皖卫办〔</w:t>
      </w:r>
      <w:r>
        <w:rPr>
          <w:rFonts w:eastAsia="仿宋_GB2312"/>
          <w:sz w:val="32"/>
        </w:rPr>
        <w:t>2014</w:t>
      </w:r>
      <w:r>
        <w:rPr>
          <w:rFonts w:eastAsia="仿宋_GB2312" w:hint="eastAsia"/>
          <w:sz w:val="32"/>
        </w:rPr>
        <w:t>〕</w:t>
      </w:r>
      <w:r>
        <w:rPr>
          <w:rFonts w:eastAsia="仿宋_GB2312"/>
          <w:sz w:val="32"/>
        </w:rPr>
        <w:t>6</w:t>
      </w:r>
      <w:r>
        <w:rPr>
          <w:rFonts w:eastAsia="仿宋_GB2312" w:hint="eastAsia"/>
          <w:sz w:val="32"/>
        </w:rPr>
        <w:t>号）、《关于印发</w:t>
      </w:r>
      <w:r>
        <w:rPr>
          <w:rFonts w:eastAsia="仿宋_GB2312"/>
          <w:sz w:val="32"/>
        </w:rPr>
        <w:t>&lt;</w:t>
      </w:r>
      <w:r>
        <w:rPr>
          <w:rFonts w:eastAsia="仿宋_GB2312" w:hint="eastAsia"/>
          <w:sz w:val="32"/>
        </w:rPr>
        <w:t>安徽省医疗救助与城乡居民大病保险有效衔接实施方</w:t>
      </w:r>
      <w:r>
        <w:rPr>
          <w:rFonts w:eastAsia="仿宋_GB2312"/>
          <w:sz w:val="32"/>
        </w:rPr>
        <w:t>&gt;</w:t>
      </w:r>
      <w:r>
        <w:rPr>
          <w:rFonts w:eastAsia="仿宋_GB2312" w:hint="eastAsia"/>
          <w:sz w:val="32"/>
        </w:rPr>
        <w:t>的通知》（皖民社救字〔</w:t>
      </w:r>
      <w:r>
        <w:rPr>
          <w:rFonts w:eastAsia="仿宋_GB2312"/>
          <w:sz w:val="32"/>
        </w:rPr>
        <w:t>2017</w:t>
      </w:r>
      <w:r>
        <w:rPr>
          <w:rFonts w:eastAsia="仿宋_GB2312" w:hint="eastAsia"/>
          <w:sz w:val="32"/>
        </w:rPr>
        <w:t>〕</w:t>
      </w:r>
      <w:r>
        <w:rPr>
          <w:rFonts w:eastAsia="仿宋_GB2312"/>
          <w:sz w:val="32"/>
        </w:rPr>
        <w:t>112</w:t>
      </w:r>
      <w:r>
        <w:rPr>
          <w:rFonts w:eastAsia="仿宋_GB2312" w:hint="eastAsia"/>
          <w:sz w:val="32"/>
        </w:rPr>
        <w:t>号）等文件精神，各县区人社、财政部门要加强与民政、卫生计生、残联等部门协调配合，全面落实困难人员参加居民医保个人缴费补贴政策，确保困难人员全部参保，补助资金及时足额到位。</w:t>
      </w:r>
    </w:p>
    <w:p w:rsidR="00F654EC" w:rsidRDefault="00F654EC" w:rsidP="00C52B2A">
      <w:pPr>
        <w:spacing w:line="539" w:lineRule="atLeast"/>
        <w:ind w:firstLine="640"/>
        <w:rPr>
          <w:rFonts w:eastAsia="仿宋_GB2312"/>
          <w:sz w:val="32"/>
        </w:rPr>
      </w:pPr>
      <w:r>
        <w:rPr>
          <w:rFonts w:eastAsia="仿宋_GB2312"/>
          <w:sz w:val="32"/>
        </w:rPr>
        <w:t>4.</w:t>
      </w:r>
      <w:r>
        <w:rPr>
          <w:rFonts w:eastAsia="仿宋_GB2312" w:hint="eastAsia"/>
          <w:sz w:val="32"/>
        </w:rPr>
        <w:t>资金拨付。各级政府建立完善城镇居民基本医疗保险的财政补助机制，将财政补助资金纳入各级政府预算，并保证及时、足额到位。居民医保财政补助资金要直接划入统筹地区财政专户。财政补助资金审核结算办法按照省财政厅、人力资源和社会保障厅、卫生厅转发《财政部</w:t>
      </w:r>
      <w:r>
        <w:rPr>
          <w:rFonts w:eastAsia="仿宋_GB2312"/>
          <w:sz w:val="32"/>
        </w:rPr>
        <w:t xml:space="preserve"> </w:t>
      </w:r>
      <w:r>
        <w:rPr>
          <w:rFonts w:eastAsia="仿宋_GB2312" w:hint="eastAsia"/>
          <w:sz w:val="32"/>
        </w:rPr>
        <w:t>人力资源和社会保障部</w:t>
      </w:r>
      <w:r>
        <w:rPr>
          <w:rFonts w:eastAsia="仿宋_GB2312"/>
          <w:sz w:val="32"/>
        </w:rPr>
        <w:t xml:space="preserve"> </w:t>
      </w:r>
      <w:r>
        <w:rPr>
          <w:rFonts w:eastAsia="仿宋_GB2312" w:hint="eastAsia"/>
          <w:sz w:val="32"/>
        </w:rPr>
        <w:t>国家卫生计生委关于修订城镇居民基本医疗保险和新型农村合作医疗中央财政补助资金拨付办法的通知》（财社〔</w:t>
      </w:r>
      <w:r>
        <w:rPr>
          <w:rFonts w:eastAsia="仿宋_GB2312"/>
          <w:sz w:val="32"/>
        </w:rPr>
        <w:t>2015</w:t>
      </w:r>
      <w:r>
        <w:rPr>
          <w:rFonts w:eastAsia="仿宋_GB2312" w:hint="eastAsia"/>
          <w:sz w:val="32"/>
        </w:rPr>
        <w:t>〕</w:t>
      </w:r>
      <w:r>
        <w:rPr>
          <w:rFonts w:eastAsia="仿宋_GB2312"/>
          <w:sz w:val="32"/>
        </w:rPr>
        <w:t>2097</w:t>
      </w:r>
      <w:r>
        <w:rPr>
          <w:rFonts w:eastAsia="仿宋_GB2312" w:hint="eastAsia"/>
          <w:sz w:val="32"/>
        </w:rPr>
        <w:t>号）文件规定执行。</w:t>
      </w:r>
    </w:p>
    <w:p w:rsidR="00F654EC" w:rsidRDefault="00F654EC" w:rsidP="00C52B2A">
      <w:pPr>
        <w:spacing w:line="539" w:lineRule="atLeast"/>
        <w:ind w:firstLine="640"/>
        <w:rPr>
          <w:rFonts w:ascii="????_GBK" w:hAnsi="????_GBK"/>
          <w:sz w:val="32"/>
        </w:rPr>
      </w:pPr>
      <w:r>
        <w:rPr>
          <w:rFonts w:ascii="宋体" w:hAnsi="宋体" w:cs="宋体" w:hint="eastAsia"/>
          <w:sz w:val="32"/>
        </w:rPr>
        <w:t>（四）参保缴费</w:t>
      </w:r>
    </w:p>
    <w:p w:rsidR="00F654EC" w:rsidRDefault="00F654EC" w:rsidP="00C52B2A">
      <w:pPr>
        <w:spacing w:line="539" w:lineRule="atLeast"/>
        <w:ind w:firstLine="640"/>
        <w:rPr>
          <w:rFonts w:eastAsia="仿宋_GB2312"/>
          <w:sz w:val="32"/>
        </w:rPr>
      </w:pPr>
      <w:r>
        <w:rPr>
          <w:rFonts w:eastAsia="仿宋_GB2312"/>
          <w:sz w:val="32"/>
        </w:rPr>
        <w:t>1.</w:t>
      </w:r>
      <w:r>
        <w:rPr>
          <w:rFonts w:eastAsia="仿宋_GB2312" w:hint="eastAsia"/>
          <w:sz w:val="32"/>
        </w:rPr>
        <w:t>参保登记。全市统一在每年</w:t>
      </w:r>
      <w:r>
        <w:rPr>
          <w:rFonts w:eastAsia="仿宋_GB2312"/>
          <w:sz w:val="32"/>
        </w:rPr>
        <w:t>9—11</w:t>
      </w:r>
      <w:r>
        <w:rPr>
          <w:rFonts w:eastAsia="仿宋_GB2312" w:hint="eastAsia"/>
          <w:sz w:val="32"/>
        </w:rPr>
        <w:t>月份集中办理下一年度参保登记缴费手续。符合参保条件的城镇居民在居住地或户籍地参加城镇居民基本医疗保险；我市高校大学生以学校为单位在市本级医保经办机构办理参保登记，按学年缴费；城镇新生儿统一实行“落地”参保的办法，在办理户口登记后办理参保登记缴费手续，不受城镇居民集中参保时间限制。</w:t>
      </w:r>
    </w:p>
    <w:p w:rsidR="00F654EC" w:rsidRDefault="00F654EC" w:rsidP="00C52B2A">
      <w:pPr>
        <w:spacing w:line="539" w:lineRule="atLeast"/>
        <w:ind w:firstLine="640"/>
        <w:rPr>
          <w:rFonts w:eastAsia="仿宋_GB2312"/>
          <w:sz w:val="32"/>
        </w:rPr>
      </w:pPr>
      <w:r>
        <w:rPr>
          <w:rFonts w:eastAsia="仿宋_GB2312"/>
          <w:sz w:val="32"/>
        </w:rPr>
        <w:t>2</w:t>
      </w:r>
      <w:r>
        <w:rPr>
          <w:rFonts w:eastAsia="仿宋_GB2312" w:hint="eastAsia"/>
          <w:sz w:val="32"/>
        </w:rPr>
        <w:t>、待遇周期。</w:t>
      </w:r>
      <w:r>
        <w:rPr>
          <w:rFonts w:eastAsia="仿宋_GB2312"/>
          <w:sz w:val="32"/>
        </w:rPr>
        <w:t>2018</w:t>
      </w:r>
      <w:r>
        <w:rPr>
          <w:rFonts w:eastAsia="仿宋_GB2312" w:hint="eastAsia"/>
          <w:sz w:val="32"/>
        </w:rPr>
        <w:t>年起，城镇居民基本医保、大病保险保障周期统一为当年</w:t>
      </w:r>
      <w:r>
        <w:rPr>
          <w:rFonts w:eastAsia="仿宋_GB2312"/>
          <w:sz w:val="32"/>
        </w:rPr>
        <w:t>1</w:t>
      </w:r>
      <w:r>
        <w:rPr>
          <w:rFonts w:eastAsia="仿宋_GB2312" w:hint="eastAsia"/>
          <w:sz w:val="32"/>
        </w:rPr>
        <w:t>月</w:t>
      </w:r>
      <w:r>
        <w:rPr>
          <w:rFonts w:eastAsia="仿宋_GB2312"/>
          <w:sz w:val="32"/>
        </w:rPr>
        <w:t>1</w:t>
      </w:r>
      <w:r>
        <w:rPr>
          <w:rFonts w:eastAsia="仿宋_GB2312" w:hint="eastAsia"/>
          <w:sz w:val="32"/>
        </w:rPr>
        <w:t>日至</w:t>
      </w:r>
      <w:smartTag w:uri="urn:schemas-microsoft-com:office:smarttags" w:element="chsdate">
        <w:smartTagPr>
          <w:attr w:name="IsROCDate" w:val="False"/>
          <w:attr w:name="IsLunarDate" w:val="False"/>
          <w:attr w:name="Day" w:val="31"/>
          <w:attr w:name="Month" w:val="12"/>
          <w:attr w:name="Year" w:val="2018"/>
        </w:smartTagPr>
        <w:r>
          <w:rPr>
            <w:rFonts w:eastAsia="仿宋_GB2312"/>
            <w:sz w:val="32"/>
          </w:rPr>
          <w:t>12</w:t>
        </w:r>
        <w:r>
          <w:rPr>
            <w:rFonts w:eastAsia="仿宋_GB2312" w:hint="eastAsia"/>
            <w:sz w:val="32"/>
          </w:rPr>
          <w:t>月</w:t>
        </w:r>
        <w:r>
          <w:rPr>
            <w:rFonts w:eastAsia="仿宋_GB2312"/>
            <w:sz w:val="32"/>
          </w:rPr>
          <w:t>31</w:t>
        </w:r>
        <w:r>
          <w:rPr>
            <w:rFonts w:eastAsia="仿宋_GB2312" w:hint="eastAsia"/>
            <w:sz w:val="32"/>
          </w:rPr>
          <w:t>日</w:t>
        </w:r>
      </w:smartTag>
      <w:r>
        <w:rPr>
          <w:rFonts w:eastAsia="仿宋_GB2312" w:hint="eastAsia"/>
          <w:sz w:val="32"/>
        </w:rPr>
        <w:t>，各县区要切实解决好参保居民缴费与待遇享受衔接问题，确保参保居民医保待遇不受影响。</w:t>
      </w:r>
    </w:p>
    <w:p w:rsidR="00F654EC" w:rsidRDefault="00F654EC" w:rsidP="00C52B2A">
      <w:pPr>
        <w:spacing w:line="539" w:lineRule="atLeast"/>
        <w:ind w:firstLine="640"/>
        <w:rPr>
          <w:rFonts w:eastAsia="仿宋_GB2312"/>
          <w:sz w:val="32"/>
        </w:rPr>
      </w:pPr>
      <w:r>
        <w:rPr>
          <w:rFonts w:eastAsia="仿宋_GB2312" w:hint="eastAsia"/>
          <w:sz w:val="32"/>
        </w:rPr>
        <w:t>全日制大专院校一年级新生增加享受自开学至</w:t>
      </w:r>
      <w:r>
        <w:rPr>
          <w:rFonts w:eastAsia="仿宋_GB2312"/>
          <w:sz w:val="32"/>
        </w:rPr>
        <w:t>12</w:t>
      </w:r>
      <w:r>
        <w:rPr>
          <w:rFonts w:eastAsia="仿宋_GB2312" w:hint="eastAsia"/>
          <w:sz w:val="32"/>
        </w:rPr>
        <w:t>月</w:t>
      </w:r>
      <w:r>
        <w:rPr>
          <w:rFonts w:eastAsia="仿宋_GB2312"/>
          <w:sz w:val="32"/>
        </w:rPr>
        <w:t>31</w:t>
      </w:r>
      <w:r>
        <w:rPr>
          <w:rFonts w:eastAsia="仿宋_GB2312" w:hint="eastAsia"/>
          <w:sz w:val="32"/>
        </w:rPr>
        <w:t>日期间城镇居民医保待遇，待遇按自然年度结算。</w:t>
      </w:r>
    </w:p>
    <w:p w:rsidR="00F654EC" w:rsidRDefault="00F654EC" w:rsidP="00C52B2A">
      <w:pPr>
        <w:spacing w:line="539" w:lineRule="atLeast"/>
        <w:ind w:firstLine="640"/>
        <w:rPr>
          <w:rFonts w:eastAsia="仿宋_GB2312"/>
          <w:sz w:val="32"/>
        </w:rPr>
      </w:pPr>
      <w:r>
        <w:rPr>
          <w:rFonts w:eastAsia="仿宋_GB2312" w:hint="eastAsia"/>
          <w:sz w:val="32"/>
        </w:rPr>
        <w:t>出生不满三个月（含三个月）参保缴费的新生儿自出生之日起享受城镇居民医保待遇，出生三个月以上的新生儿自参保缴费之日起享受城镇居民医保待遇。县区要主意做好缴费与医保享受待遇衔接问题，确保参保居民医保待遇不受影响。</w:t>
      </w:r>
    </w:p>
    <w:p w:rsidR="00F654EC" w:rsidRDefault="00F654EC" w:rsidP="00C52B2A">
      <w:pPr>
        <w:spacing w:line="539" w:lineRule="atLeast"/>
        <w:ind w:firstLine="640"/>
        <w:rPr>
          <w:rFonts w:eastAsia="仿宋_GB2312"/>
          <w:sz w:val="32"/>
        </w:rPr>
      </w:pPr>
      <w:r>
        <w:rPr>
          <w:rFonts w:eastAsia="仿宋_GB2312" w:hint="eastAsia"/>
          <w:sz w:val="32"/>
        </w:rPr>
        <w:t>不得重复参保和重复报销医疗费用。参保居民就医应持社会保障卡就医即时结算。因客观原因需在医保经办机构报销医疗费用的，一律凭发票原件及规定的相关资料办理。</w:t>
      </w:r>
    </w:p>
    <w:p w:rsidR="00F654EC" w:rsidRDefault="00F654EC" w:rsidP="00C52B2A">
      <w:pPr>
        <w:spacing w:line="539" w:lineRule="atLeast"/>
        <w:ind w:firstLine="640"/>
        <w:rPr>
          <w:rFonts w:eastAsia="仿宋_GB2312"/>
          <w:sz w:val="32"/>
        </w:rPr>
      </w:pPr>
      <w:r>
        <w:rPr>
          <w:rFonts w:eastAsia="仿宋_GB2312"/>
          <w:sz w:val="32"/>
        </w:rPr>
        <w:t>3.</w:t>
      </w:r>
      <w:r>
        <w:rPr>
          <w:rFonts w:eastAsia="仿宋_GB2312" w:hint="eastAsia"/>
          <w:sz w:val="32"/>
        </w:rPr>
        <w:t>费用征收。参保居民个人缴纳的医保费用由地税部门负责征收，具体按照省地税局、财政厅、原劳动保障厅、民政厅、人民银行合肥中心支行联合下发的《关于城镇居民医疗保障费征收工作的紧急通知》（皖地税〔</w:t>
      </w:r>
      <w:r>
        <w:rPr>
          <w:rFonts w:eastAsia="仿宋_GB2312"/>
          <w:sz w:val="32"/>
        </w:rPr>
        <w:t>2007</w:t>
      </w:r>
      <w:r>
        <w:rPr>
          <w:rFonts w:eastAsia="仿宋_GB2312" w:hint="eastAsia"/>
          <w:sz w:val="32"/>
        </w:rPr>
        <w:t>〕</w:t>
      </w:r>
      <w:r>
        <w:rPr>
          <w:rFonts w:eastAsia="仿宋_GB2312"/>
          <w:sz w:val="32"/>
        </w:rPr>
        <w:t>229</w:t>
      </w:r>
      <w:r>
        <w:rPr>
          <w:rFonts w:eastAsia="仿宋_GB2312" w:hint="eastAsia"/>
          <w:sz w:val="32"/>
        </w:rPr>
        <w:t>号）执行。</w:t>
      </w:r>
    </w:p>
    <w:p w:rsidR="00F654EC" w:rsidRDefault="00F654EC" w:rsidP="00C52B2A">
      <w:pPr>
        <w:spacing w:line="539" w:lineRule="atLeast"/>
        <w:ind w:firstLine="640"/>
        <w:rPr>
          <w:rFonts w:ascii="????_GBK" w:hAnsi="????_GBK"/>
          <w:sz w:val="32"/>
        </w:rPr>
      </w:pPr>
      <w:r>
        <w:rPr>
          <w:rFonts w:ascii="宋体" w:hAnsi="宋体" w:cs="宋体" w:hint="eastAsia"/>
          <w:sz w:val="32"/>
        </w:rPr>
        <w:t>（五）待遇保障</w:t>
      </w:r>
    </w:p>
    <w:p w:rsidR="00F654EC" w:rsidRDefault="00F654EC" w:rsidP="00C52B2A">
      <w:pPr>
        <w:spacing w:line="539" w:lineRule="atLeast"/>
        <w:ind w:firstLine="640"/>
        <w:rPr>
          <w:rFonts w:eastAsia="仿宋_GB2312"/>
          <w:sz w:val="32"/>
        </w:rPr>
      </w:pPr>
      <w:r>
        <w:rPr>
          <w:rFonts w:eastAsia="仿宋_GB2312"/>
          <w:sz w:val="32"/>
        </w:rPr>
        <w:t>1.</w:t>
      </w:r>
      <w:r>
        <w:rPr>
          <w:rFonts w:eastAsia="仿宋_GB2312" w:hint="eastAsia"/>
          <w:sz w:val="32"/>
        </w:rPr>
        <w:t>支付范围。城镇居民基本医疗保险不建个人账户。医保基金主要用于支付参保居民符合规定的住院、门诊大病、慢性病及普通门诊等医疗费用。</w:t>
      </w:r>
    </w:p>
    <w:p w:rsidR="00F654EC" w:rsidRDefault="00F654EC" w:rsidP="00C52B2A">
      <w:pPr>
        <w:spacing w:line="539" w:lineRule="atLeast"/>
        <w:ind w:firstLine="640"/>
        <w:rPr>
          <w:rFonts w:eastAsia="仿宋_GB2312"/>
          <w:sz w:val="32"/>
        </w:rPr>
      </w:pPr>
      <w:r>
        <w:rPr>
          <w:rFonts w:eastAsia="仿宋_GB2312"/>
          <w:sz w:val="32"/>
        </w:rPr>
        <w:t>2.</w:t>
      </w:r>
      <w:r>
        <w:rPr>
          <w:rFonts w:eastAsia="仿宋_GB2312" w:hint="eastAsia"/>
          <w:sz w:val="32"/>
        </w:rPr>
        <w:t>待遇水平。在经济发展新常态下，统筹考虑医疗消费需求、基金支撑能力和参保群众实际医疗费用负担等情况，建立分级诊疗的激励机制。合理调整住院、普通门诊、门诊特殊（慢性）病的起付标准、支付比例和支付限额等。注重基本医疗保险和大病保险政策衔接。适当拉开不同层级医疗机构的起付标准和支付比例，基金支付重点向基层定点医疗机构倾斜，引导参保群众在基层定点医疗机构就医，享受更高的医疗保险待遇。</w:t>
      </w:r>
    </w:p>
    <w:p w:rsidR="00F654EC" w:rsidRDefault="00F654EC" w:rsidP="00C52B2A">
      <w:pPr>
        <w:spacing w:line="539" w:lineRule="atLeast"/>
        <w:ind w:firstLine="640"/>
        <w:rPr>
          <w:rFonts w:eastAsia="仿宋_GB2312"/>
          <w:sz w:val="32"/>
        </w:rPr>
      </w:pPr>
      <w:r>
        <w:rPr>
          <w:rFonts w:eastAsia="仿宋_GB2312" w:hint="eastAsia"/>
          <w:sz w:val="32"/>
        </w:rPr>
        <w:t>参保城镇居民在统筹区内定点医疗机构住院，符合医保政策规定的医疗费用，统筹基金起付标准为三级医院</w:t>
      </w:r>
      <w:r>
        <w:rPr>
          <w:rFonts w:eastAsia="仿宋_GB2312"/>
          <w:sz w:val="32"/>
        </w:rPr>
        <w:t>900</w:t>
      </w:r>
      <w:r>
        <w:rPr>
          <w:rFonts w:eastAsia="仿宋_GB2312" w:hint="eastAsia"/>
          <w:sz w:val="32"/>
        </w:rPr>
        <w:t>元</w:t>
      </w:r>
      <w:r>
        <w:rPr>
          <w:rFonts w:eastAsia="仿宋_GB2312"/>
          <w:sz w:val="32"/>
        </w:rPr>
        <w:t>/</w:t>
      </w:r>
      <w:r>
        <w:rPr>
          <w:rFonts w:eastAsia="仿宋_GB2312" w:hint="eastAsia"/>
          <w:sz w:val="32"/>
        </w:rPr>
        <w:t>次；二级医院（含医改后实行药品零差价的县区属公立医院）</w:t>
      </w:r>
      <w:r>
        <w:rPr>
          <w:rFonts w:eastAsia="仿宋_GB2312"/>
          <w:sz w:val="32"/>
        </w:rPr>
        <w:t>550</w:t>
      </w:r>
      <w:r>
        <w:rPr>
          <w:rFonts w:eastAsia="仿宋_GB2312" w:hint="eastAsia"/>
          <w:sz w:val="32"/>
        </w:rPr>
        <w:t>元</w:t>
      </w:r>
      <w:r>
        <w:rPr>
          <w:rFonts w:eastAsia="仿宋_GB2312"/>
          <w:sz w:val="32"/>
        </w:rPr>
        <w:t>/</w:t>
      </w:r>
      <w:r>
        <w:rPr>
          <w:rFonts w:eastAsia="仿宋_GB2312" w:hint="eastAsia"/>
          <w:sz w:val="32"/>
        </w:rPr>
        <w:t>次，一级及以下医院</w:t>
      </w:r>
      <w:r>
        <w:rPr>
          <w:rFonts w:eastAsia="仿宋_GB2312"/>
          <w:sz w:val="32"/>
        </w:rPr>
        <w:t>300</w:t>
      </w:r>
      <w:r>
        <w:rPr>
          <w:rFonts w:eastAsia="仿宋_GB2312" w:hint="eastAsia"/>
          <w:sz w:val="32"/>
        </w:rPr>
        <w:t>元</w:t>
      </w:r>
      <w:r>
        <w:rPr>
          <w:rFonts w:eastAsia="仿宋_GB2312"/>
          <w:sz w:val="32"/>
        </w:rPr>
        <w:t>/</w:t>
      </w:r>
      <w:r>
        <w:rPr>
          <w:rFonts w:eastAsia="仿宋_GB2312" w:hint="eastAsia"/>
          <w:sz w:val="32"/>
        </w:rPr>
        <w:t>次，乡镇卫生院、社区卫生服务中心</w:t>
      </w:r>
      <w:r>
        <w:rPr>
          <w:rFonts w:eastAsia="仿宋_GB2312"/>
          <w:sz w:val="32"/>
        </w:rPr>
        <w:t>200</w:t>
      </w:r>
      <w:r>
        <w:rPr>
          <w:rFonts w:eastAsia="仿宋_GB2312" w:hint="eastAsia"/>
          <w:sz w:val="32"/>
        </w:rPr>
        <w:t>元</w:t>
      </w:r>
      <w:r>
        <w:rPr>
          <w:rFonts w:eastAsia="仿宋_GB2312"/>
          <w:sz w:val="32"/>
        </w:rPr>
        <w:t>/</w:t>
      </w:r>
      <w:r>
        <w:rPr>
          <w:rFonts w:eastAsia="仿宋_GB2312" w:hint="eastAsia"/>
          <w:sz w:val="32"/>
        </w:rPr>
        <w:t>次。统筹基金起付标准以上，最高支付限额以下的，按照一级、基层二级（县区属公立医院）、二级、三级医疗机构，统筹基金支付比例分别为</w:t>
      </w:r>
      <w:r>
        <w:rPr>
          <w:rFonts w:eastAsia="仿宋_GB2312"/>
          <w:sz w:val="32"/>
        </w:rPr>
        <w:t>85%</w:t>
      </w:r>
      <w:r>
        <w:rPr>
          <w:rFonts w:eastAsia="仿宋_GB2312" w:hint="eastAsia"/>
          <w:sz w:val="32"/>
        </w:rPr>
        <w:t>、</w:t>
      </w:r>
      <w:r>
        <w:rPr>
          <w:rFonts w:eastAsia="仿宋_GB2312"/>
          <w:sz w:val="32"/>
        </w:rPr>
        <w:t>80%</w:t>
      </w:r>
      <w:r>
        <w:rPr>
          <w:rFonts w:eastAsia="仿宋_GB2312" w:hint="eastAsia"/>
          <w:sz w:val="32"/>
        </w:rPr>
        <w:t>、</w:t>
      </w:r>
      <w:r>
        <w:rPr>
          <w:rFonts w:eastAsia="仿宋_GB2312"/>
          <w:sz w:val="32"/>
        </w:rPr>
        <w:t>75%</w:t>
      </w:r>
      <w:r>
        <w:rPr>
          <w:rFonts w:eastAsia="仿宋_GB2312" w:hint="eastAsia"/>
          <w:sz w:val="32"/>
        </w:rPr>
        <w:t>、</w:t>
      </w:r>
      <w:r>
        <w:rPr>
          <w:rFonts w:eastAsia="仿宋_GB2312"/>
          <w:sz w:val="32"/>
        </w:rPr>
        <w:t>70%</w:t>
      </w:r>
      <w:r>
        <w:rPr>
          <w:rFonts w:eastAsia="仿宋_GB2312" w:hint="eastAsia"/>
          <w:sz w:val="32"/>
        </w:rPr>
        <w:t>；城镇居民连续参保，从第二年度起统筹基金支付比例分别提高</w:t>
      </w:r>
      <w:r>
        <w:rPr>
          <w:rFonts w:eastAsia="仿宋_GB2312"/>
          <w:sz w:val="32"/>
        </w:rPr>
        <w:t>5%</w:t>
      </w:r>
      <w:r>
        <w:rPr>
          <w:rFonts w:eastAsia="仿宋_GB2312" w:hint="eastAsia"/>
          <w:sz w:val="32"/>
        </w:rPr>
        <w:t>。</w:t>
      </w:r>
    </w:p>
    <w:p w:rsidR="00F654EC" w:rsidRDefault="00F654EC" w:rsidP="00C52B2A">
      <w:pPr>
        <w:spacing w:line="539" w:lineRule="atLeast"/>
        <w:ind w:firstLine="640"/>
        <w:rPr>
          <w:rFonts w:eastAsia="仿宋_GB2312"/>
          <w:sz w:val="32"/>
        </w:rPr>
      </w:pPr>
      <w:r>
        <w:rPr>
          <w:rFonts w:eastAsia="仿宋_GB2312" w:hint="eastAsia"/>
          <w:sz w:val="32"/>
        </w:rPr>
        <w:t>实行按病种收费方式改革医疗费用报销办法，按相关规定执行。</w:t>
      </w:r>
    </w:p>
    <w:p w:rsidR="00F654EC" w:rsidRDefault="00F654EC" w:rsidP="00C52B2A">
      <w:pPr>
        <w:spacing w:line="539" w:lineRule="atLeast"/>
        <w:ind w:firstLine="640"/>
        <w:rPr>
          <w:rFonts w:eastAsia="仿宋_GB2312"/>
          <w:sz w:val="32"/>
        </w:rPr>
      </w:pPr>
      <w:r>
        <w:rPr>
          <w:rFonts w:eastAsia="仿宋_GB2312" w:hint="eastAsia"/>
          <w:sz w:val="32"/>
        </w:rPr>
        <w:t>各类在校学生（含</w:t>
      </w:r>
      <w:r>
        <w:rPr>
          <w:rFonts w:eastAsia="仿宋_GB2312"/>
          <w:sz w:val="32"/>
        </w:rPr>
        <w:t>18</w:t>
      </w:r>
      <w:r>
        <w:rPr>
          <w:rFonts w:eastAsia="仿宋_GB2312" w:hint="eastAsia"/>
          <w:sz w:val="32"/>
        </w:rPr>
        <w:t>周岁以下城镇居民）、其他非从业城镇居民，其医保政策范围内统筹基金最高支付限额分别为</w:t>
      </w:r>
      <w:r>
        <w:rPr>
          <w:rFonts w:eastAsia="仿宋_GB2312"/>
          <w:sz w:val="32"/>
        </w:rPr>
        <w:t>20</w:t>
      </w:r>
      <w:r>
        <w:rPr>
          <w:rFonts w:eastAsia="仿宋_GB2312" w:hint="eastAsia"/>
          <w:sz w:val="32"/>
        </w:rPr>
        <w:t>万元和</w:t>
      </w:r>
      <w:r>
        <w:rPr>
          <w:rFonts w:eastAsia="仿宋_GB2312"/>
          <w:sz w:val="32"/>
        </w:rPr>
        <w:t>15</w:t>
      </w:r>
      <w:r>
        <w:rPr>
          <w:rFonts w:eastAsia="仿宋_GB2312" w:hint="eastAsia"/>
          <w:sz w:val="32"/>
        </w:rPr>
        <w:t>万元；对连续参保的城镇居民，从第二年度起分别提高到</w:t>
      </w:r>
      <w:r>
        <w:rPr>
          <w:rFonts w:eastAsia="仿宋_GB2312"/>
          <w:sz w:val="32"/>
        </w:rPr>
        <w:t>25</w:t>
      </w:r>
      <w:r>
        <w:rPr>
          <w:rFonts w:eastAsia="仿宋_GB2312" w:hint="eastAsia"/>
          <w:sz w:val="32"/>
        </w:rPr>
        <w:t>万和</w:t>
      </w:r>
      <w:r>
        <w:rPr>
          <w:rFonts w:eastAsia="仿宋_GB2312"/>
          <w:sz w:val="32"/>
        </w:rPr>
        <w:t>20</w:t>
      </w:r>
      <w:r>
        <w:rPr>
          <w:rFonts w:eastAsia="仿宋_GB2312" w:hint="eastAsia"/>
          <w:sz w:val="32"/>
        </w:rPr>
        <w:t>万元。</w:t>
      </w:r>
    </w:p>
    <w:p w:rsidR="00F654EC" w:rsidRDefault="00F654EC" w:rsidP="00C52B2A">
      <w:pPr>
        <w:spacing w:line="539" w:lineRule="atLeast"/>
        <w:ind w:firstLine="640"/>
        <w:rPr>
          <w:rFonts w:ascii="黑体" w:eastAsia="黑体" w:hAnsi="黑体"/>
          <w:sz w:val="32"/>
        </w:rPr>
      </w:pPr>
      <w:r>
        <w:rPr>
          <w:rFonts w:ascii="黑体" w:eastAsia="黑体" w:hAnsi="黑体" w:hint="eastAsia"/>
          <w:sz w:val="32"/>
        </w:rPr>
        <w:t>三、医疗保险管理</w:t>
      </w:r>
    </w:p>
    <w:p w:rsidR="00F654EC" w:rsidRDefault="00F654EC" w:rsidP="00C52B2A">
      <w:pPr>
        <w:spacing w:line="539" w:lineRule="atLeast"/>
        <w:ind w:firstLine="640"/>
        <w:rPr>
          <w:rFonts w:eastAsia="仿宋_GB2312"/>
          <w:sz w:val="32"/>
        </w:rPr>
      </w:pPr>
      <w:r>
        <w:rPr>
          <w:rFonts w:ascii="宋体" w:hAnsi="宋体" w:cs="宋体" w:hint="eastAsia"/>
          <w:sz w:val="32"/>
        </w:rPr>
        <w:t>（一）基金管理。</w:t>
      </w:r>
      <w:r>
        <w:rPr>
          <w:rFonts w:eastAsia="仿宋_GB2312" w:hint="eastAsia"/>
          <w:sz w:val="32"/>
        </w:rPr>
        <w:t>城镇居民基本医疗保险基金纳入社会保障基金财政专户实行统一管理，单独列账，专款专用。各级财政部门要按照核定的财政补助资金及时足额拨付到城镇居民基本医疗保险基金财政专户。各地要按照社会保险基金管理的有关规定，健全完善基金财务制度，规范基金核算和管理。统筹地区要注重基金风险防范和运行预警，将基金控制在合理的结余水平，并切实推进内控制度落实，加大监督检查力度，既要防止挤占、挪用、骗取医保基金等违法违规行为，又要充分发挥基金使用绩效。</w:t>
      </w:r>
    </w:p>
    <w:p w:rsidR="00F654EC" w:rsidRDefault="00F654EC" w:rsidP="00C52B2A">
      <w:pPr>
        <w:spacing w:line="539" w:lineRule="atLeast"/>
        <w:ind w:firstLine="640"/>
        <w:rPr>
          <w:rFonts w:eastAsia="仿宋_GB2312"/>
          <w:sz w:val="32"/>
        </w:rPr>
      </w:pPr>
      <w:r>
        <w:rPr>
          <w:rFonts w:ascii="宋体" w:hAnsi="宋体" w:cs="宋体" w:hint="eastAsia"/>
          <w:sz w:val="32"/>
        </w:rPr>
        <w:t>（二）支付方式改革。</w:t>
      </w:r>
      <w:r>
        <w:rPr>
          <w:rFonts w:eastAsia="仿宋_GB2312" w:hint="eastAsia"/>
          <w:sz w:val="32"/>
        </w:rPr>
        <w:t>各县区要以进一步强化基金预决算管理，全面落实医疗保险总额控制为基础，以促进医疗机构规范行为、控制成本、合理收治为目标，重点推进按病种付费工作，</w:t>
      </w:r>
      <w:r>
        <w:rPr>
          <w:rFonts w:eastAsia="仿宋_GB2312"/>
          <w:sz w:val="32"/>
        </w:rPr>
        <w:t>2018</w:t>
      </w:r>
      <w:r>
        <w:rPr>
          <w:rFonts w:eastAsia="仿宋_GB2312" w:hint="eastAsia"/>
          <w:sz w:val="32"/>
        </w:rPr>
        <w:t>年按病种付费不少于</w:t>
      </w:r>
      <w:r>
        <w:rPr>
          <w:rFonts w:eastAsia="仿宋_GB2312"/>
          <w:sz w:val="32"/>
        </w:rPr>
        <w:t>104</w:t>
      </w:r>
      <w:r>
        <w:rPr>
          <w:rFonts w:eastAsia="仿宋_GB2312" w:hint="eastAsia"/>
          <w:sz w:val="32"/>
        </w:rPr>
        <w:t>个病种；对于精神病、安宁疗护、医疗康复等需要长期住院治疗且日均费用较稳定的疾病，可推行按床日付费；依托基层医疗卫生机构门诊统筹和家庭医生签约服务开展，稳步推行门诊按人头付费，明确按人头付费的基本医疗服务包范围和内容。已经开展支付方式改革地区，要加强支付方式改革评估和完善，提高改革成效。</w:t>
      </w:r>
    </w:p>
    <w:p w:rsidR="00F654EC" w:rsidRDefault="00F654EC" w:rsidP="00C52B2A">
      <w:pPr>
        <w:spacing w:line="539" w:lineRule="atLeast"/>
        <w:ind w:firstLine="640"/>
        <w:rPr>
          <w:rFonts w:eastAsia="仿宋_GB2312"/>
          <w:sz w:val="32"/>
        </w:rPr>
      </w:pPr>
      <w:r>
        <w:rPr>
          <w:rFonts w:ascii="宋体" w:hAnsi="宋体" w:cs="宋体" w:hint="eastAsia"/>
          <w:sz w:val="32"/>
        </w:rPr>
        <w:t>（三）医疗服务监管。</w:t>
      </w:r>
      <w:r>
        <w:rPr>
          <w:rFonts w:eastAsia="仿宋_GB2312" w:hint="eastAsia"/>
          <w:sz w:val="32"/>
        </w:rPr>
        <w:t>参照城镇职工基本医疗保险医疗服务管理的有关规定，结合居民医保实际情况，完善居民医保医疗服务管理的相关政策，合理确定居民医保医疗服务范围；加强和完善医疗服务协议管理，督促协议内容落实，强化对定点医疗机构执行医保政策行为的考核，将考核结果与医保基金支付挂钩，对医保协议机构实行动态的准入退出机制；全面推进医保智能审核和实时监控建设，提高对医疗服务的监管水平。鼓励各地探索建立医保执业医师制度，促进医务人员诚信服务。</w:t>
      </w:r>
    </w:p>
    <w:p w:rsidR="00F654EC" w:rsidRDefault="00F654EC" w:rsidP="00C52B2A">
      <w:pPr>
        <w:spacing w:line="539" w:lineRule="atLeast"/>
        <w:ind w:firstLine="640"/>
        <w:rPr>
          <w:rFonts w:eastAsia="仿宋_GB2312"/>
          <w:sz w:val="32"/>
        </w:rPr>
      </w:pPr>
      <w:r>
        <w:rPr>
          <w:rFonts w:ascii="宋体" w:hAnsi="宋体" w:cs="宋体" w:hint="eastAsia"/>
          <w:sz w:val="32"/>
        </w:rPr>
        <w:t>（四）经办管理服务。</w:t>
      </w:r>
      <w:r>
        <w:rPr>
          <w:rFonts w:eastAsia="仿宋_GB2312" w:hint="eastAsia"/>
          <w:sz w:val="32"/>
        </w:rPr>
        <w:t>城镇居民基本医疗保险管理服务工作，统一由市和各县区城镇基本医疗保险经办机构负责。各县区要进一步采取有效措施，运用“互联网</w:t>
      </w:r>
      <w:r>
        <w:rPr>
          <w:rFonts w:eastAsia="仿宋_GB2312"/>
          <w:sz w:val="32"/>
        </w:rPr>
        <w:t>+</w:t>
      </w:r>
      <w:r>
        <w:rPr>
          <w:rFonts w:eastAsia="仿宋_GB2312" w:hint="eastAsia"/>
          <w:sz w:val="32"/>
        </w:rPr>
        <w:t>人社”等信息化手段，优化参保缴费、就医及备案、报销等手续，做到经办业务公开透明、方便快捷、科学高效。</w:t>
      </w:r>
    </w:p>
    <w:p w:rsidR="00F654EC" w:rsidRDefault="00F654EC" w:rsidP="00C52B2A">
      <w:pPr>
        <w:spacing w:line="539" w:lineRule="atLeast"/>
        <w:ind w:firstLine="640"/>
        <w:rPr>
          <w:rFonts w:eastAsia="仿宋_GB2312"/>
          <w:sz w:val="32"/>
        </w:rPr>
      </w:pPr>
      <w:r>
        <w:rPr>
          <w:rFonts w:eastAsia="仿宋_GB2312" w:hint="eastAsia"/>
          <w:sz w:val="32"/>
        </w:rPr>
        <w:t>根据医疗保险事业发展的需要，进一步加强医保经办机构能力建设，通过经办体制改革创新、加强社区社会保障服务平台建设、购买服务、人员培训和提升医保信息化水平等方式，进一步提升经办管理和服务能力。</w:t>
      </w:r>
    </w:p>
    <w:p w:rsidR="00F654EC" w:rsidRDefault="00F654EC" w:rsidP="00C52B2A">
      <w:pPr>
        <w:spacing w:line="539" w:lineRule="atLeast"/>
        <w:ind w:firstLine="640"/>
        <w:rPr>
          <w:rFonts w:eastAsia="仿宋_GB2312"/>
          <w:sz w:val="32"/>
        </w:rPr>
      </w:pPr>
      <w:r>
        <w:rPr>
          <w:rFonts w:eastAsia="仿宋_GB2312" w:hint="eastAsia"/>
          <w:sz w:val="32"/>
        </w:rPr>
        <w:t>同级财政部门要按照规定做好相关经费保障工作。</w:t>
      </w:r>
    </w:p>
    <w:p w:rsidR="00F654EC" w:rsidRDefault="00F654EC" w:rsidP="00C52B2A">
      <w:pPr>
        <w:spacing w:line="539" w:lineRule="atLeast"/>
        <w:ind w:firstLine="640"/>
        <w:rPr>
          <w:rFonts w:ascii="黑体" w:eastAsia="黑体" w:hAnsi="黑体"/>
          <w:sz w:val="32"/>
        </w:rPr>
      </w:pPr>
      <w:r>
        <w:rPr>
          <w:rFonts w:ascii="黑体" w:eastAsia="黑体" w:hAnsi="黑体" w:hint="eastAsia"/>
          <w:sz w:val="32"/>
        </w:rPr>
        <w:t>四、工作要求</w:t>
      </w:r>
    </w:p>
    <w:p w:rsidR="00F654EC" w:rsidRDefault="00F654EC" w:rsidP="00C52B2A">
      <w:pPr>
        <w:spacing w:line="539" w:lineRule="atLeast"/>
        <w:ind w:firstLine="640"/>
        <w:rPr>
          <w:rFonts w:eastAsia="仿宋_GB2312"/>
          <w:sz w:val="32"/>
        </w:rPr>
      </w:pPr>
      <w:r>
        <w:rPr>
          <w:rFonts w:ascii="宋体" w:hAnsi="宋体" w:cs="宋体" w:hint="eastAsia"/>
          <w:sz w:val="32"/>
        </w:rPr>
        <w:t>（一）加强组织领导。</w:t>
      </w:r>
      <w:r>
        <w:rPr>
          <w:rFonts w:eastAsia="仿宋_GB2312" w:hint="eastAsia"/>
          <w:sz w:val="32"/>
        </w:rPr>
        <w:t>各地要切实提高居民医保民生工程重要性的认识，切实增强大局观和责任感，加强组织领导，强化部门配合，做好督查指导，抓好贯彻落实，精心组织实施。</w:t>
      </w:r>
    </w:p>
    <w:p w:rsidR="00F654EC" w:rsidRDefault="00F654EC" w:rsidP="00C52B2A">
      <w:pPr>
        <w:spacing w:line="539" w:lineRule="atLeast"/>
        <w:ind w:firstLine="640"/>
        <w:rPr>
          <w:rFonts w:eastAsia="仿宋_GB2312"/>
          <w:sz w:val="32"/>
        </w:rPr>
      </w:pPr>
      <w:r>
        <w:rPr>
          <w:rFonts w:ascii="宋体" w:hAnsi="宋体" w:cs="宋体" w:hint="eastAsia"/>
          <w:sz w:val="32"/>
        </w:rPr>
        <w:t>（二）加强基础工作。</w:t>
      </w:r>
      <w:r>
        <w:rPr>
          <w:rFonts w:eastAsia="仿宋_GB2312" w:hint="eastAsia"/>
          <w:sz w:val="32"/>
        </w:rPr>
        <w:t>进一步做好居民医保基础工作，确定专人负责，按要求做好月度和信息报送工作，进一步畅通市、县（区）间信息交流渠道。健全完善参保信息数据库，准确记录并及时更新参保人员姓名、证件号、身份状态、参保情况和联系方式等基本数据，并按省、市民生办要求做好社情民意调查数据报送工作。</w:t>
      </w:r>
      <w:r>
        <w:rPr>
          <w:rFonts w:eastAsia="仿宋_GB2312"/>
          <w:sz w:val="32"/>
        </w:rPr>
        <w:t>2018</w:t>
      </w:r>
      <w:r>
        <w:rPr>
          <w:rFonts w:eastAsia="仿宋_GB2312" w:hint="eastAsia"/>
          <w:sz w:val="32"/>
        </w:rPr>
        <w:t>年，各县区在实施有关城镇居民医疗保险过程中的重大事项，均应及时上报市局备案。</w:t>
      </w:r>
    </w:p>
    <w:p w:rsidR="00F654EC" w:rsidRDefault="00F654EC" w:rsidP="00C52B2A">
      <w:pPr>
        <w:spacing w:line="539" w:lineRule="atLeast"/>
        <w:ind w:firstLine="640"/>
        <w:rPr>
          <w:rFonts w:eastAsia="仿宋_GB2312"/>
          <w:sz w:val="32"/>
        </w:rPr>
      </w:pPr>
      <w:r>
        <w:rPr>
          <w:rFonts w:ascii="宋体" w:hAnsi="宋体" w:cs="宋体" w:hint="eastAsia"/>
          <w:sz w:val="32"/>
        </w:rPr>
        <w:t>（三）稳妥推进经办改革。</w:t>
      </w:r>
      <w:r>
        <w:rPr>
          <w:rFonts w:eastAsia="仿宋_GB2312" w:hint="eastAsia"/>
          <w:sz w:val="32"/>
        </w:rPr>
        <w:t>经办体制改革试点市要在确保基金安全和有效监管的前提下，积极稳妥做好商业保险机构经办居民业务试点工作，对试点工作中可能出现的重大问题加强研究和预判，力争试点工作取得实际成效，为基本医疗保险经办体制改革提供成功经验。</w:t>
      </w:r>
    </w:p>
    <w:p w:rsidR="00F654EC" w:rsidRDefault="00F654EC" w:rsidP="00C52B2A">
      <w:pPr>
        <w:spacing w:line="539" w:lineRule="atLeast"/>
        <w:ind w:firstLine="640"/>
        <w:rPr>
          <w:rFonts w:eastAsia="仿宋_GB2312"/>
          <w:sz w:val="32"/>
        </w:rPr>
      </w:pPr>
      <w:r>
        <w:rPr>
          <w:rFonts w:ascii="宋体" w:hAnsi="宋体" w:cs="宋体" w:hint="eastAsia"/>
          <w:sz w:val="32"/>
        </w:rPr>
        <w:t>（四）做好舆论宣传。</w:t>
      </w:r>
      <w:r>
        <w:rPr>
          <w:rFonts w:eastAsia="仿宋_GB2312" w:hint="eastAsia"/>
          <w:sz w:val="32"/>
        </w:rPr>
        <w:t>坚持正确的舆论导向，继续强化居民医保民生工程宣传，在充分利用广播、电视、报纸、网络等宣传的同时，要充分发挥街道社区、学校、医疗机构、经办机构等宣传主阵地的作用，全面宣传城居民医保政策内容、参保和就医结算程序、典型案例及实施成效等，提高宣传的针对性，积极引导广大居民参保续保，进一步提高城镇居民医保知晓度和满意度。</w:t>
      </w:r>
    </w:p>
    <w:p w:rsidR="00F654EC" w:rsidRDefault="00F654EC" w:rsidP="00C52B2A">
      <w:pPr>
        <w:spacing w:line="539" w:lineRule="atLeast"/>
        <w:ind w:firstLine="640"/>
        <w:rPr>
          <w:rFonts w:eastAsia="仿宋_GB2312"/>
          <w:sz w:val="32"/>
        </w:rPr>
      </w:pPr>
    </w:p>
    <w:p w:rsidR="00F654EC" w:rsidRDefault="00F654EC" w:rsidP="00C52B2A">
      <w:pPr>
        <w:spacing w:line="604" w:lineRule="atLeast"/>
        <w:ind w:firstLine="640"/>
        <w:rPr>
          <w:rFonts w:eastAsia="仿宋_GB2312"/>
          <w:sz w:val="32"/>
        </w:rPr>
      </w:pPr>
    </w:p>
    <w:sectPr w:rsidR="00F654EC" w:rsidSect="00847201">
      <w:headerReference w:type="even" r:id="rId6"/>
      <w:headerReference w:type="default" r:id="rId7"/>
      <w:footerReference w:type="even" r:id="rId8"/>
      <w:footerReference w:type="default" r:id="rId9"/>
      <w:headerReference w:type="first" r:id="rId10"/>
      <w:footerReference w:type="first" r:id="rId11"/>
      <w:endnotePr>
        <w:numFmt w:val="ideographDigital"/>
      </w:endnotePr>
      <w:pgSz w:w="11905" w:h="16837"/>
      <w:pgMar w:top="1440" w:right="1080" w:bottom="1440" w:left="1080" w:header="566" w:footer="396"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4EC" w:rsidRDefault="00F654EC" w:rsidP="00C52B2A">
      <w:pPr>
        <w:ind w:firstLine="400"/>
      </w:pPr>
      <w:r>
        <w:separator/>
      </w:r>
    </w:p>
  </w:endnote>
  <w:endnote w:type="continuationSeparator" w:id="0">
    <w:p w:rsidR="00F654EC" w:rsidRDefault="00F654EC" w:rsidP="00C52B2A">
      <w:pPr>
        <w:ind w:firstLine="40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仿宋_GB2312">
    <w:altName w:val="微软雅黑"/>
    <w:panose1 w:val="00000000000000000000"/>
    <w:charset w:val="86"/>
    <w:family w:val="modern"/>
    <w:notTrueType/>
    <w:pitch w:val="fixed"/>
    <w:sig w:usb0="00000001" w:usb1="080E0000" w:usb2="00000010" w:usb3="00000000" w:csb0="00040000" w:csb1="00000000"/>
  </w:font>
  <w:font w:name="????_GBK">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4EC" w:rsidRDefault="00F654EC" w:rsidP="00C52B2A">
    <w:pPr>
      <w:spacing w:line="1" w:lineRule="atLeast"/>
      <w:ind w:firstLine="400"/>
    </w:pPr>
    <w:r>
      <w:rPr>
        <w:noProof/>
      </w:rPr>
      <w:pict>
        <v:shapetype id="_x0000_t202" coordsize="21600,21600" o:spt="202" path="m,l,21600r21600,l21600,xe">
          <v:stroke joinstyle="miter"/>
          <v:path gradientshapeok="t" o:connecttype="rect"/>
        </v:shapetype>
        <v:shape id="文本框 3" o:spid="_x0000_s2051" type="#_x0000_t202" style="position:absolute;left:0;text-align:left;margin-left:0;margin-top:0;width:453.5pt;height:51pt;z-index:251664384;mso-wrap-distance-left:0;mso-wrap-distance-right:0" filled="f" stroked="f" strokeweight=".2mm">
          <v:textbox inset="0,0,0,0">
            <w:txbxContent>
              <w:p w:rsidR="00F654EC" w:rsidRDefault="00F654EC" w:rsidP="00C52B2A">
                <w:pPr>
                  <w:spacing w:line="439" w:lineRule="atLeast"/>
                  <w:ind w:firstLine="562"/>
                  <w:rPr>
                    <w:b/>
                    <w:sz w:val="28"/>
                  </w:rPr>
                </w:pPr>
                <w:r>
                  <w:rPr>
                    <w:rFonts w:hint="eastAsia"/>
                    <w:b/>
                    <w:sz w:val="28"/>
                  </w:rPr>
                  <w:t>－</w:t>
                </w:r>
                <w:r>
                  <w:rPr>
                    <w:b/>
                    <w:sz w:val="28"/>
                  </w:rPr>
                  <w:fldChar w:fldCharType="begin"/>
                </w:r>
                <w:r>
                  <w:rPr>
                    <w:b/>
                    <w:sz w:val="28"/>
                  </w:rPr>
                  <w:instrText xml:space="preserve"> PAGE \* DBCHAR \* MERGEFORMAT </w:instrText>
                </w:r>
                <w:r>
                  <w:rPr>
                    <w:b/>
                    <w:sz w:val="28"/>
                  </w:rPr>
                  <w:fldChar w:fldCharType="separate"/>
                </w:r>
                <w:r>
                  <w:rPr>
                    <w:rFonts w:hint="eastAsia"/>
                    <w:b/>
                    <w:noProof/>
                    <w:sz w:val="28"/>
                  </w:rPr>
                  <w:t>２</w:t>
                </w:r>
                <w:r>
                  <w:rPr>
                    <w:b/>
                    <w:sz w:val="28"/>
                  </w:rPr>
                  <w:fldChar w:fldCharType="end"/>
                </w:r>
                <w:r>
                  <w:rPr>
                    <w:rFonts w:hint="eastAsia"/>
                    <w:b/>
                    <w:sz w:val="28"/>
                  </w:rPr>
                  <w:t>－</w:t>
                </w:r>
              </w:p>
            </w:txbxContent>
          </v:textbox>
          <w10:anchorlock/>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30" type="#_x0000_t75" style="width:453.75pt;height:43.5pt;mso-position-horizontal-relative:page;mso-position-vertical-relative:page">
          <v:imagedata r:id="rId1" o:titl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4EC" w:rsidRDefault="00F654EC" w:rsidP="00C52B2A">
    <w:pPr>
      <w:spacing w:line="1" w:lineRule="atLeast"/>
      <w:ind w:firstLine="400"/>
    </w:pPr>
    <w:r>
      <w:rPr>
        <w:noProof/>
      </w:rPr>
      <w:pict>
        <v:shapetype id="_x0000_t202" coordsize="21600,21600" o:spt="202" path="m,l,21600r21600,l21600,xe">
          <v:stroke joinstyle="miter"/>
          <v:path gradientshapeok="t" o:connecttype="rect"/>
        </v:shapetype>
        <v:shape id="文本框 4" o:spid="_x0000_s2052" type="#_x0000_t202" style="position:absolute;left:0;text-align:left;margin-left:0;margin-top:0;width:453.5pt;height:51pt;z-index:251666432;mso-wrap-distance-left:0;mso-wrap-distance-right:0" filled="f" stroked="f" strokeweight=".2mm">
          <v:textbox inset="0,0,0,0">
            <w:txbxContent>
              <w:p w:rsidR="00F654EC" w:rsidRDefault="00F654EC" w:rsidP="00C52B2A">
                <w:pPr>
                  <w:spacing w:line="439" w:lineRule="atLeast"/>
                  <w:ind w:firstLine="562"/>
                  <w:jc w:val="right"/>
                  <w:rPr>
                    <w:b/>
                    <w:sz w:val="28"/>
                  </w:rPr>
                </w:pPr>
                <w:r>
                  <w:rPr>
                    <w:rFonts w:hint="eastAsia"/>
                    <w:b/>
                    <w:sz w:val="28"/>
                  </w:rPr>
                  <w:t>－</w:t>
                </w:r>
                <w:r>
                  <w:rPr>
                    <w:b/>
                    <w:sz w:val="28"/>
                  </w:rPr>
                  <w:fldChar w:fldCharType="begin"/>
                </w:r>
                <w:r>
                  <w:rPr>
                    <w:b/>
                    <w:sz w:val="28"/>
                  </w:rPr>
                  <w:instrText xml:space="preserve"> PAGE \* DBCHAR \* MERGEFORMAT </w:instrText>
                </w:r>
                <w:r>
                  <w:rPr>
                    <w:b/>
                    <w:sz w:val="28"/>
                  </w:rPr>
                  <w:fldChar w:fldCharType="separate"/>
                </w:r>
                <w:r>
                  <w:rPr>
                    <w:rFonts w:hint="eastAsia"/>
                    <w:b/>
                    <w:noProof/>
                    <w:sz w:val="28"/>
                  </w:rPr>
                  <w:t>１</w:t>
                </w:r>
                <w:r>
                  <w:rPr>
                    <w:b/>
                    <w:sz w:val="28"/>
                  </w:rPr>
                  <w:fldChar w:fldCharType="end"/>
                </w:r>
                <w:r>
                  <w:rPr>
                    <w:rFonts w:hint="eastAsia"/>
                    <w:b/>
                    <w:sz w:val="28"/>
                  </w:rPr>
                  <w:t>－</w:t>
                </w:r>
              </w:p>
            </w:txbxContent>
          </v:textbox>
          <w10:anchorlock/>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i1032" type="#_x0000_t75" style="width:453.75pt;height:43.5pt;mso-position-horizontal-relative:page;mso-position-vertical-relative:page">
          <v:imagedata r:id="rId1" o:titl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4EC" w:rsidRDefault="00F654EC" w:rsidP="00C52B2A">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4EC" w:rsidRDefault="00F654EC" w:rsidP="00C52B2A">
      <w:pPr>
        <w:ind w:firstLine="400"/>
      </w:pPr>
      <w:r>
        <w:separator/>
      </w:r>
    </w:p>
  </w:footnote>
  <w:footnote w:type="continuationSeparator" w:id="0">
    <w:p w:rsidR="00F654EC" w:rsidRDefault="00F654EC" w:rsidP="00C52B2A">
      <w:pPr>
        <w:ind w:firstLine="40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4EC" w:rsidRDefault="00F654EC" w:rsidP="00C52B2A">
    <w:pPr>
      <w:spacing w:line="1" w:lineRule="atLeast"/>
      <w:ind w:firstLine="400"/>
    </w:pPr>
    <w:r>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0;margin-top:0;width:453.5pt;height:42.5pt;z-index:251660288;mso-wrap-distance-left:0;mso-wrap-distance-right:0" filled="f" stroked="f" strokeweight=".2mm">
          <v:textbox inset="0,0,0,0">
            <w:txbxContent>
              <w:p w:rsidR="00F654EC" w:rsidRDefault="00F654EC" w:rsidP="00C52B2A">
                <w:pPr>
                  <w:spacing w:line="334" w:lineRule="atLeast"/>
                  <w:ind w:firstLine="420"/>
                  <w:rPr>
                    <w:sz w:val="21"/>
                  </w:rPr>
                </w:pPr>
              </w:p>
            </w:txbxContent>
          </v:textbox>
          <w10:anchorlock/>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6" type="#_x0000_t75" style="width:453.75pt;height:41.25pt;mso-position-horizontal-relative:page;mso-position-vertical-relative:page">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4EC" w:rsidRDefault="00F654EC" w:rsidP="00C52B2A">
    <w:pPr>
      <w:spacing w:line="1" w:lineRule="atLeast"/>
      <w:ind w:firstLine="400"/>
    </w:pPr>
    <w:r>
      <w:rPr>
        <w:noProof/>
      </w:rPr>
      <w:pict>
        <v:shapetype id="_x0000_t202" coordsize="21600,21600" o:spt="202" path="m,l,21600r21600,l21600,xe">
          <v:stroke joinstyle="miter"/>
          <v:path gradientshapeok="t" o:connecttype="rect"/>
        </v:shapetype>
        <v:shape id="文本框 2" o:spid="_x0000_s2050" type="#_x0000_t202" style="position:absolute;left:0;text-align:left;margin-left:0;margin-top:0;width:453.5pt;height:42.5pt;z-index:251662336;mso-wrap-distance-left:0;mso-wrap-distance-right:0" filled="f" stroked="f" strokeweight=".2mm">
          <v:textbox inset="0,0,0,0">
            <w:txbxContent>
              <w:p w:rsidR="00F654EC" w:rsidRDefault="00F654EC" w:rsidP="00C52B2A">
                <w:pPr>
                  <w:spacing w:line="334" w:lineRule="atLeast"/>
                  <w:ind w:firstLine="420"/>
                  <w:rPr>
                    <w:sz w:val="21"/>
                  </w:rPr>
                </w:pPr>
              </w:p>
            </w:txbxContent>
          </v:textbox>
          <w10:anchorlock/>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8" type="#_x0000_t75" style="width:453.75pt;height:41.25pt;mso-position-horizontal-relative:page;mso-position-vertical-relative:page">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4EC" w:rsidRDefault="00F654EC" w:rsidP="00C52B2A">
    <w:pPr>
      <w:pStyle w:val="Header"/>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839"/>
  <w:evenAndOddHeaders/>
  <w:displayHorizontalDrawingGridEvery w:val="0"/>
  <w:displayVerticalDrawingGridEvery w:val="0"/>
  <w:doNotUseMarginsForDrawingGridOrigin/>
  <w:drawingGridHorizontalOrigin w:val="0"/>
  <w:drawingGridVerticalOrigin w:val="0"/>
  <w:doNotShadeFormData/>
  <w:characterSpacingControl w:val="compressPunctuation"/>
  <w:noLineBreaksAfter w:lang="zh-CN" w:val="$([{£¥·‘“〈《「『【〔〖〝﹙﹛﹝＄（．［｛￡￥"/>
  <w:noLineBreaksBefore w:lang="zh-CN" w:val="!%),.:;&gt;?]}¢¨°·ˇˉ―‖’”…‰′″›℃∶、。〃〉》」』】〕〗〞︶︺︾﹀﹄﹚﹜﹞！＂％＇），．：；？］｀｜｝～￠"/>
  <w:doNotValidateAgainstSchema/>
  <w:doNotDemarcateInvalidXml/>
  <w:hdrShapeDefaults>
    <o:shapedefaults v:ext="edit" spidmax="2053"/>
    <o:shapelayout v:ext="edit">
      <o:idmap v:ext="edit" data="2"/>
    </o:shapelayout>
  </w:hdrShapeDefaults>
  <w:footnotePr>
    <w:footnote w:id="-1"/>
    <w:footnote w:id="0"/>
  </w:footnotePr>
  <w:endnotePr>
    <w:numFmt w:val="ideographDigital"/>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313CD"/>
    <w:rsid w:val="00041942"/>
    <w:rsid w:val="00083E47"/>
    <w:rsid w:val="00172A27"/>
    <w:rsid w:val="00184CFD"/>
    <w:rsid w:val="002023EF"/>
    <w:rsid w:val="0021517F"/>
    <w:rsid w:val="00281D61"/>
    <w:rsid w:val="00337267"/>
    <w:rsid w:val="004729AE"/>
    <w:rsid w:val="004E2AAE"/>
    <w:rsid w:val="006B251E"/>
    <w:rsid w:val="00775DD9"/>
    <w:rsid w:val="00846EDD"/>
    <w:rsid w:val="00847201"/>
    <w:rsid w:val="008B21B0"/>
    <w:rsid w:val="00967D53"/>
    <w:rsid w:val="00995731"/>
    <w:rsid w:val="00B82BEB"/>
    <w:rsid w:val="00C11EAD"/>
    <w:rsid w:val="00C52B2A"/>
    <w:rsid w:val="00C6711E"/>
    <w:rsid w:val="00C678D8"/>
    <w:rsid w:val="00CA4D0E"/>
    <w:rsid w:val="00D13034"/>
    <w:rsid w:val="00DF621C"/>
    <w:rsid w:val="00EC592A"/>
    <w:rsid w:val="00ED066F"/>
    <w:rsid w:val="00F654EC"/>
    <w:rsid w:val="00FA6EBA"/>
    <w:rsid w:val="07125CBE"/>
    <w:rsid w:val="7AEF1C5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201"/>
    <w:pPr>
      <w:widowControl w:val="0"/>
      <w:ind w:firstLineChars="200" w:firstLine="21"/>
    </w:pPr>
    <w:rPr>
      <w:kern w:val="0"/>
      <w:sz w:val="20"/>
      <w:szCs w:val="20"/>
    </w:rPr>
  </w:style>
  <w:style w:type="paragraph" w:styleId="Heading1">
    <w:name w:val="heading 1"/>
    <w:basedOn w:val="Normal"/>
    <w:link w:val="Heading1Char"/>
    <w:uiPriority w:val="99"/>
    <w:qFormat/>
    <w:rsid w:val="00847201"/>
    <w:pPr>
      <w:spacing w:before="104" w:after="104" w:line="240" w:lineRule="atLeast"/>
      <w:ind w:firstLineChars="0" w:firstLine="0"/>
      <w:jc w:val="center"/>
      <w:outlineLvl w:val="0"/>
    </w:pPr>
    <w:rPr>
      <w:rFonts w:ascii="Arial" w:eastAsia="黑体" w:hAnsi="Arial"/>
      <w:sz w:val="32"/>
    </w:rPr>
  </w:style>
  <w:style w:type="paragraph" w:styleId="Heading2">
    <w:name w:val="heading 2"/>
    <w:basedOn w:val="Normal"/>
    <w:link w:val="Heading2Char"/>
    <w:uiPriority w:val="99"/>
    <w:qFormat/>
    <w:rsid w:val="00847201"/>
    <w:pPr>
      <w:spacing w:line="240" w:lineRule="atLeast"/>
      <w:ind w:firstLineChars="0" w:firstLine="0"/>
      <w:jc w:val="center"/>
      <w:outlineLvl w:val="1"/>
    </w:pPr>
    <w:rPr>
      <w:sz w:val="28"/>
    </w:rPr>
  </w:style>
  <w:style w:type="paragraph" w:styleId="Heading3">
    <w:name w:val="heading 3"/>
    <w:basedOn w:val="Normal"/>
    <w:link w:val="Heading3Char"/>
    <w:uiPriority w:val="99"/>
    <w:qFormat/>
    <w:rsid w:val="00847201"/>
    <w:pPr>
      <w:spacing w:before="104" w:after="104"/>
      <w:ind w:firstLineChars="0" w:firstLine="0"/>
      <w:outlineLvl w:val="2"/>
    </w:pPr>
    <w:rPr>
      <w:rFonts w:eastAsia="黑体"/>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82BEB"/>
    <w:rPr>
      <w:rFonts w:cs="Times New Roman"/>
      <w:b/>
      <w:bCs/>
      <w:kern w:val="44"/>
      <w:sz w:val="44"/>
      <w:szCs w:val="44"/>
    </w:rPr>
  </w:style>
  <w:style w:type="character" w:customStyle="1" w:styleId="Heading2Char">
    <w:name w:val="Heading 2 Char"/>
    <w:basedOn w:val="DefaultParagraphFont"/>
    <w:link w:val="Heading2"/>
    <w:uiPriority w:val="99"/>
    <w:semiHidden/>
    <w:locked/>
    <w:rsid w:val="00B82BEB"/>
    <w:rPr>
      <w:rFonts w:ascii="Cambria" w:eastAsia="宋体" w:hAnsi="Cambria" w:cs="Times New Roman"/>
      <w:b/>
      <w:bCs/>
      <w:kern w:val="0"/>
      <w:sz w:val="32"/>
      <w:szCs w:val="32"/>
    </w:rPr>
  </w:style>
  <w:style w:type="character" w:customStyle="1" w:styleId="Heading3Char">
    <w:name w:val="Heading 3 Char"/>
    <w:basedOn w:val="DefaultParagraphFont"/>
    <w:link w:val="Heading3"/>
    <w:uiPriority w:val="99"/>
    <w:semiHidden/>
    <w:locked/>
    <w:rsid w:val="00B82BEB"/>
    <w:rPr>
      <w:rFonts w:cs="Times New Roman"/>
      <w:b/>
      <w:bCs/>
      <w:kern w:val="0"/>
      <w:sz w:val="32"/>
      <w:szCs w:val="32"/>
    </w:rPr>
  </w:style>
  <w:style w:type="character" w:customStyle="1" w:styleId="a">
    <w:name w:val="链接"/>
    <w:basedOn w:val="DefaultParagraphFont"/>
    <w:uiPriority w:val="99"/>
    <w:rsid w:val="00847201"/>
    <w:rPr>
      <w:rFonts w:cs="Times New Roman"/>
      <w:color w:val="0000FF"/>
      <w:u w:val="single" w:color="0000FF"/>
    </w:rPr>
  </w:style>
  <w:style w:type="paragraph" w:styleId="TOC3">
    <w:name w:val="toc 3"/>
    <w:basedOn w:val="Normal"/>
    <w:uiPriority w:val="99"/>
    <w:rsid w:val="00847201"/>
    <w:pPr>
      <w:spacing w:line="306" w:lineRule="auto"/>
    </w:pPr>
  </w:style>
  <w:style w:type="paragraph" w:styleId="TOC1">
    <w:name w:val="toc 1"/>
    <w:basedOn w:val="Normal"/>
    <w:uiPriority w:val="99"/>
    <w:rsid w:val="00847201"/>
    <w:pPr>
      <w:spacing w:after="104" w:line="240" w:lineRule="atLeast"/>
      <w:ind w:firstLineChars="0" w:firstLine="0"/>
    </w:pPr>
    <w:rPr>
      <w:rFonts w:ascii="Arial" w:eastAsia="黑体" w:hAnsi="Arial"/>
      <w:sz w:val="28"/>
    </w:rPr>
  </w:style>
  <w:style w:type="paragraph" w:styleId="TOC4">
    <w:name w:val="toc 4"/>
    <w:basedOn w:val="Normal"/>
    <w:uiPriority w:val="99"/>
    <w:rsid w:val="00847201"/>
    <w:pPr>
      <w:spacing w:line="306" w:lineRule="auto"/>
      <w:ind w:firstLineChars="0" w:firstLine="629"/>
    </w:pPr>
  </w:style>
  <w:style w:type="paragraph" w:styleId="TOC2">
    <w:name w:val="toc 2"/>
    <w:basedOn w:val="Normal"/>
    <w:uiPriority w:val="99"/>
    <w:rsid w:val="00847201"/>
    <w:pPr>
      <w:spacing w:line="306" w:lineRule="auto"/>
      <w:ind w:firstLineChars="0" w:firstLine="209"/>
    </w:pPr>
  </w:style>
  <w:style w:type="paragraph" w:styleId="Title">
    <w:name w:val="Title"/>
    <w:basedOn w:val="Normal"/>
    <w:link w:val="TitleChar"/>
    <w:uiPriority w:val="99"/>
    <w:qFormat/>
    <w:rsid w:val="00847201"/>
    <w:pPr>
      <w:spacing w:before="209" w:after="209" w:line="240" w:lineRule="atLeast"/>
      <w:ind w:firstLineChars="0" w:firstLine="0"/>
      <w:jc w:val="center"/>
    </w:pPr>
    <w:rPr>
      <w:rFonts w:ascii="Arial" w:eastAsia="黑体" w:hAnsi="Arial"/>
      <w:sz w:val="52"/>
    </w:rPr>
  </w:style>
  <w:style w:type="character" w:customStyle="1" w:styleId="TitleChar">
    <w:name w:val="Title Char"/>
    <w:basedOn w:val="DefaultParagraphFont"/>
    <w:link w:val="Title"/>
    <w:uiPriority w:val="99"/>
    <w:locked/>
    <w:rsid w:val="00B82BEB"/>
    <w:rPr>
      <w:rFonts w:ascii="Cambria" w:hAnsi="Cambria" w:cs="Times New Roman"/>
      <w:b/>
      <w:bCs/>
      <w:kern w:val="0"/>
      <w:sz w:val="32"/>
      <w:szCs w:val="32"/>
    </w:rPr>
  </w:style>
  <w:style w:type="paragraph" w:customStyle="1" w:styleId="a0">
    <w:name w:val="目录标题"/>
    <w:basedOn w:val="Normal"/>
    <w:uiPriority w:val="99"/>
    <w:rsid w:val="00847201"/>
    <w:pPr>
      <w:spacing w:before="209" w:after="209" w:line="240" w:lineRule="atLeast"/>
      <w:jc w:val="center"/>
    </w:pPr>
    <w:rPr>
      <w:rFonts w:ascii="Arial" w:eastAsia="黑体" w:hAnsi="Arial"/>
      <w:spacing w:val="209"/>
      <w:sz w:val="52"/>
    </w:rPr>
  </w:style>
  <w:style w:type="paragraph" w:customStyle="1" w:styleId="WPSPlain">
    <w:name w:val="WPS Plain"/>
    <w:uiPriority w:val="99"/>
    <w:rsid w:val="00847201"/>
    <w:rPr>
      <w:kern w:val="0"/>
      <w:sz w:val="20"/>
      <w:szCs w:val="20"/>
    </w:rPr>
  </w:style>
  <w:style w:type="paragraph" w:customStyle="1" w:styleId="a1">
    <w:name w:val="文章附标题"/>
    <w:basedOn w:val="Normal"/>
    <w:uiPriority w:val="99"/>
    <w:rsid w:val="00847201"/>
    <w:pPr>
      <w:spacing w:before="104" w:after="104" w:line="240" w:lineRule="atLeast"/>
      <w:ind w:firstLineChars="0" w:firstLine="0"/>
      <w:jc w:val="center"/>
    </w:pPr>
    <w:rPr>
      <w:sz w:val="36"/>
    </w:rPr>
  </w:style>
  <w:style w:type="paragraph" w:styleId="Header">
    <w:name w:val="header"/>
    <w:basedOn w:val="Normal"/>
    <w:link w:val="HeaderChar"/>
    <w:uiPriority w:val="99"/>
    <w:semiHidden/>
    <w:rsid w:val="00C52B2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52B2A"/>
    <w:rPr>
      <w:rFonts w:cs="Times New Roman"/>
      <w:sz w:val="18"/>
      <w:szCs w:val="18"/>
    </w:rPr>
  </w:style>
  <w:style w:type="paragraph" w:styleId="Footer">
    <w:name w:val="footer"/>
    <w:basedOn w:val="Normal"/>
    <w:link w:val="FooterChar"/>
    <w:uiPriority w:val="99"/>
    <w:semiHidden/>
    <w:rsid w:val="00C52B2A"/>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locked/>
    <w:rsid w:val="00C52B2A"/>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7</Pages>
  <Words>632</Words>
  <Characters>3609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孙增响</cp:lastModifiedBy>
  <cp:revision>11</cp:revision>
  <dcterms:created xsi:type="dcterms:W3CDTF">2018-07-17T02:45:00Z</dcterms:created>
  <dcterms:modified xsi:type="dcterms:W3CDTF">2018-10-31T06:56:00Z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